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781BA2FC"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1017C6">
        <w:rPr>
          <w:rFonts w:ascii="Times New Roman" w:eastAsia="DaxlinePro-Light" w:hAnsi="Times New Roman" w:cs="Times New Roman"/>
          <w:b/>
          <w:bCs/>
          <w:noProof/>
          <w:sz w:val="24"/>
          <w:szCs w:val="24"/>
        </w:rPr>
        <w:t>29</w:t>
      </w:r>
      <w:r w:rsidR="001017C6" w:rsidRPr="004E195C">
        <w:rPr>
          <w:rFonts w:ascii="Times New Roman" w:eastAsia="DaxlinePro-Light" w:hAnsi="Times New Roman" w:cs="Times New Roman"/>
          <w:b/>
          <w:bCs/>
          <w:noProof/>
          <w:sz w:val="24"/>
          <w:szCs w:val="24"/>
        </w:rPr>
        <w:t>/</w:t>
      </w:r>
      <w:r w:rsidR="001017C6">
        <w:rPr>
          <w:rFonts w:ascii="Times New Roman" w:eastAsia="DaxlinePro-Light" w:hAnsi="Times New Roman" w:cs="Times New Roman"/>
          <w:b/>
          <w:bCs/>
          <w:noProof/>
          <w:sz w:val="24"/>
          <w:szCs w:val="24"/>
        </w:rPr>
        <w:t>30</w:t>
      </w:r>
      <w:r w:rsidR="001017C6" w:rsidRPr="004E195C">
        <w:rPr>
          <w:rFonts w:ascii="Times New Roman" w:eastAsia="DaxlinePro-Light" w:hAnsi="Times New Roman" w:cs="Times New Roman"/>
          <w:b/>
          <w:bCs/>
          <w:noProof/>
          <w:sz w:val="24"/>
          <w:szCs w:val="24"/>
        </w:rPr>
        <w:t>.</w:t>
      </w:r>
      <w:r w:rsidR="001017C6">
        <w:rPr>
          <w:rFonts w:ascii="Times New Roman" w:eastAsia="DaxlinePro-Light" w:hAnsi="Times New Roman" w:cs="Times New Roman"/>
          <w:b/>
          <w:bCs/>
          <w:noProof/>
          <w:sz w:val="24"/>
          <w:szCs w:val="24"/>
        </w:rPr>
        <w:t>01</w:t>
      </w:r>
      <w:r w:rsidR="001017C6" w:rsidRPr="004E195C">
        <w:rPr>
          <w:rFonts w:ascii="Times New Roman" w:eastAsia="DaxlinePro-Light" w:hAnsi="Times New Roman" w:cs="Times New Roman"/>
          <w:b/>
          <w:bCs/>
          <w:noProof/>
          <w:sz w:val="24"/>
          <w:szCs w:val="24"/>
        </w:rPr>
        <w:t>.202</w:t>
      </w:r>
      <w:r w:rsidR="001017C6">
        <w:rPr>
          <w:rFonts w:ascii="Times New Roman" w:eastAsia="DaxlinePro-Light" w:hAnsi="Times New Roman" w:cs="Times New Roman"/>
          <w:b/>
          <w:bCs/>
          <w:noProof/>
          <w:sz w:val="24"/>
          <w:szCs w:val="24"/>
        </w:rPr>
        <w:t>4</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2FB8D1C5"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B56B27" w:rsidRPr="003E78D8">
        <w:rPr>
          <w:rFonts w:ascii="Times New Roman" w:eastAsia="Calibri" w:hAnsi="Times New Roman" w:cs="Times New Roman"/>
          <w:b/>
          <w:bCs/>
          <w:noProof/>
          <w:sz w:val="24"/>
          <w:szCs w:val="24"/>
        </w:rPr>
        <w:t>OGMS</w:t>
      </w:r>
      <w:r w:rsidR="00B56B27" w:rsidRPr="004E195C">
        <w:rPr>
          <w:rFonts w:ascii="Times New Roman" w:eastAsia="Calibri" w:hAnsi="Times New Roman" w:cs="Times New Roman"/>
          <w:noProof/>
          <w:sz w:val="24"/>
          <w:szCs w:val="24"/>
        </w:rPr>
        <w:t xml:space="preserve"> of the Company that will take place on </w:t>
      </w:r>
      <w:r w:rsidR="00F84BF7">
        <w:rPr>
          <w:rFonts w:ascii="Times New Roman" w:eastAsia="Calibri" w:hAnsi="Times New Roman" w:cs="Times New Roman"/>
          <w:b/>
          <w:bCs/>
          <w:noProof/>
          <w:sz w:val="24"/>
          <w:szCs w:val="24"/>
        </w:rPr>
        <w:t>29</w:t>
      </w:r>
      <w:r w:rsidR="00F84BF7" w:rsidRPr="004E195C">
        <w:rPr>
          <w:rFonts w:ascii="Times New Roman" w:eastAsia="DaxlinePro-Light" w:hAnsi="Times New Roman" w:cs="Times New Roman"/>
          <w:b/>
          <w:bCs/>
          <w:noProof/>
          <w:sz w:val="24"/>
          <w:szCs w:val="24"/>
        </w:rPr>
        <w:t xml:space="preserve"> </w:t>
      </w:r>
      <w:r w:rsidR="00F84BF7">
        <w:rPr>
          <w:rFonts w:ascii="Times New Roman" w:eastAsia="DaxlinePro-Light" w:hAnsi="Times New Roman" w:cs="Times New Roman"/>
          <w:b/>
          <w:bCs/>
          <w:noProof/>
          <w:sz w:val="24"/>
          <w:szCs w:val="24"/>
        </w:rPr>
        <w:t xml:space="preserve">January </w:t>
      </w:r>
      <w:r w:rsidR="00F84BF7" w:rsidRPr="004E195C">
        <w:rPr>
          <w:rFonts w:ascii="Times New Roman" w:eastAsia="DaxlinePro-Light" w:hAnsi="Times New Roman" w:cs="Times New Roman"/>
          <w:b/>
          <w:bCs/>
          <w:noProof/>
          <w:sz w:val="24"/>
          <w:szCs w:val="24"/>
        </w:rPr>
        <w:t>202</w:t>
      </w:r>
      <w:r w:rsidR="00F84BF7">
        <w:rPr>
          <w:rFonts w:ascii="Times New Roman" w:eastAsia="DaxlinePro-Light" w:hAnsi="Times New Roman" w:cs="Times New Roman"/>
          <w:b/>
          <w:bCs/>
          <w:noProof/>
          <w:sz w:val="24"/>
          <w:szCs w:val="24"/>
        </w:rPr>
        <w:t>4</w:t>
      </w:r>
      <w:r w:rsidR="00F84BF7" w:rsidRPr="004E195C">
        <w:rPr>
          <w:rFonts w:ascii="Times New Roman" w:eastAsia="DaxlinePro-Light" w:hAnsi="Times New Roman" w:cs="Times New Roman"/>
          <w:b/>
          <w:bCs/>
          <w:noProof/>
          <w:sz w:val="24"/>
          <w:szCs w:val="24"/>
        </w:rPr>
        <w:t>, at 1</w:t>
      </w:r>
      <w:r w:rsidR="00F84BF7">
        <w:rPr>
          <w:rFonts w:ascii="Times New Roman" w:eastAsia="DaxlinePro-Light" w:hAnsi="Times New Roman" w:cs="Times New Roman"/>
          <w:b/>
          <w:bCs/>
          <w:noProof/>
          <w:sz w:val="24"/>
          <w:szCs w:val="24"/>
        </w:rPr>
        <w:t>1</w:t>
      </w:r>
      <w:r w:rsidR="00F84BF7" w:rsidRPr="004E195C">
        <w:rPr>
          <w:rFonts w:ascii="Times New Roman" w:eastAsia="DaxlinePro-Light" w:hAnsi="Times New Roman" w:cs="Times New Roman"/>
          <w:b/>
          <w:bCs/>
          <w:noProof/>
          <w:sz w:val="24"/>
          <w:szCs w:val="24"/>
        </w:rPr>
        <w:t>:00 (Romanian time) – the first convocation</w:t>
      </w:r>
      <w:r w:rsidR="00F84BF7" w:rsidRPr="004E195C">
        <w:rPr>
          <w:rFonts w:ascii="Times New Roman" w:eastAsia="DaxlinePro-Light" w:hAnsi="Times New Roman" w:cs="Times New Roman"/>
          <w:noProof/>
          <w:sz w:val="24"/>
          <w:szCs w:val="24"/>
        </w:rPr>
        <w:t xml:space="preserve"> and, respectively </w:t>
      </w:r>
      <w:r w:rsidR="00F84BF7">
        <w:rPr>
          <w:rFonts w:ascii="Times New Roman" w:eastAsia="DaxlinePro-Light" w:hAnsi="Times New Roman" w:cs="Times New Roman"/>
          <w:b/>
          <w:bCs/>
          <w:noProof/>
          <w:sz w:val="24"/>
          <w:szCs w:val="24"/>
        </w:rPr>
        <w:t>30</w:t>
      </w:r>
      <w:r w:rsidR="00F84BF7" w:rsidRPr="00993A53">
        <w:rPr>
          <w:rFonts w:ascii="Times New Roman" w:eastAsia="DaxlinePro-Light" w:hAnsi="Times New Roman" w:cs="Times New Roman"/>
          <w:b/>
          <w:bCs/>
          <w:noProof/>
          <w:sz w:val="24"/>
          <w:szCs w:val="24"/>
        </w:rPr>
        <w:t xml:space="preserve"> </w:t>
      </w:r>
      <w:r w:rsidR="00F84BF7">
        <w:rPr>
          <w:rFonts w:ascii="Times New Roman" w:eastAsia="DaxlinePro-Light" w:hAnsi="Times New Roman" w:cs="Times New Roman"/>
          <w:b/>
          <w:bCs/>
          <w:noProof/>
          <w:sz w:val="24"/>
          <w:szCs w:val="24"/>
        </w:rPr>
        <w:t xml:space="preserve">January </w:t>
      </w:r>
      <w:r w:rsidR="00F84BF7" w:rsidRPr="004E195C">
        <w:rPr>
          <w:rFonts w:ascii="Times New Roman" w:eastAsia="DaxlinePro-Light" w:hAnsi="Times New Roman" w:cs="Times New Roman"/>
          <w:b/>
          <w:bCs/>
          <w:noProof/>
          <w:sz w:val="24"/>
          <w:szCs w:val="24"/>
        </w:rPr>
        <w:t>202</w:t>
      </w:r>
      <w:r w:rsidR="00F84BF7">
        <w:rPr>
          <w:rFonts w:ascii="Times New Roman" w:eastAsia="DaxlinePro-Light" w:hAnsi="Times New Roman" w:cs="Times New Roman"/>
          <w:b/>
          <w:bCs/>
          <w:noProof/>
          <w:sz w:val="24"/>
          <w:szCs w:val="24"/>
        </w:rPr>
        <w:t>4</w:t>
      </w:r>
      <w:r w:rsidR="00F84BF7" w:rsidRPr="004E195C">
        <w:rPr>
          <w:rFonts w:ascii="Times New Roman" w:eastAsia="DaxlinePro-Light" w:hAnsi="Times New Roman" w:cs="Times New Roman"/>
          <w:b/>
          <w:bCs/>
          <w:noProof/>
          <w:sz w:val="24"/>
          <w:szCs w:val="24"/>
        </w:rPr>
        <w:t>, at 1</w:t>
      </w:r>
      <w:r w:rsidR="00F84BF7">
        <w:rPr>
          <w:rFonts w:ascii="Times New Roman" w:eastAsia="DaxlinePro-Light" w:hAnsi="Times New Roman" w:cs="Times New Roman"/>
          <w:b/>
          <w:bCs/>
          <w:noProof/>
          <w:sz w:val="24"/>
          <w:szCs w:val="24"/>
        </w:rPr>
        <w:t>1</w:t>
      </w:r>
      <w:r w:rsidR="00F84BF7" w:rsidRPr="004E195C">
        <w:rPr>
          <w:rFonts w:ascii="Times New Roman" w:eastAsia="DaxlinePro-Light" w:hAnsi="Times New Roman" w:cs="Times New Roman"/>
          <w:b/>
          <w:bCs/>
          <w:noProof/>
          <w:sz w:val="24"/>
          <w:szCs w:val="24"/>
        </w:rPr>
        <w:t xml:space="preserve">:00 (Romanian time) </w:t>
      </w:r>
      <w:r w:rsidR="00B56B27" w:rsidRPr="004E195C">
        <w:rPr>
          <w:rFonts w:ascii="Times New Roman" w:eastAsia="DaxlinePro-Light" w:hAnsi="Times New Roman" w:cs="Times New Roman"/>
          <w:noProof/>
          <w:sz w:val="24"/>
          <w:szCs w:val="24"/>
        </w:rPr>
        <w:t>– 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5A904459" w14:textId="5FA89708" w:rsidR="00AC3F92" w:rsidRPr="00AC3F92" w:rsidRDefault="00341676" w:rsidP="00AC3F92">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AC3F92">
        <w:rPr>
          <w:rFonts w:ascii="Times New Roman" w:eastAsia="DaxlinePro-Light" w:hAnsi="Times New Roman" w:cs="Times New Roman"/>
          <w:b/>
          <w:bCs/>
          <w:iCs/>
          <w:noProof/>
          <w:sz w:val="24"/>
          <w:szCs w:val="24"/>
        </w:rPr>
        <w:t>Approval</w:t>
      </w:r>
      <w:r w:rsidR="00AC3F92" w:rsidRPr="009A3192">
        <w:rPr>
          <w:rFonts w:ascii="Times New Roman" w:eastAsia="DaxlinePro-Light" w:hAnsi="Times New Roman" w:cs="Times New Roman"/>
          <w:b/>
          <w:bCs/>
          <w:iCs/>
          <w:noProof/>
          <w:sz w:val="24"/>
          <w:szCs w:val="24"/>
        </w:rPr>
        <w:t xml:space="preserve"> </w:t>
      </w:r>
      <w:r w:rsidR="00AC3F92" w:rsidRPr="00692295">
        <w:rPr>
          <w:rFonts w:ascii="Times New Roman" w:eastAsia="DaxlinePro-Light" w:hAnsi="Times New Roman" w:cs="Times New Roman"/>
          <w:iCs/>
          <w:noProof/>
          <w:sz w:val="24"/>
          <w:szCs w:val="24"/>
        </w:rPr>
        <w:t>of the appointment of Mr. Sorin Man as a member of the Audit and Risk Committee of the Company, from the date of the Ordinary General Meeting of Shareholders (OGMS) until September 17, 2025</w:t>
      </w:r>
      <w:r w:rsidR="00AC3F92" w:rsidRPr="009A3192">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C3F92" w:rsidRPr="004E195C" w14:paraId="415E526A"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B9AF6AD"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2F63DB7"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BAA5A7E"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AC3F92" w:rsidRPr="004E195C" w14:paraId="509493ED"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8C80A7"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B305FD5"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9D94E0F"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EFBDC50" w14:textId="77777777" w:rsidR="00AC3F92" w:rsidRPr="004E195C" w:rsidRDefault="00AC3F92" w:rsidP="00AC3F92">
      <w:pPr>
        <w:widowControl w:val="0"/>
        <w:pBdr>
          <w:bottom w:val="single" w:sz="12" w:space="1" w:color="auto"/>
        </w:pBdr>
        <w:jc w:val="both"/>
        <w:rPr>
          <w:rFonts w:ascii="Times New Roman" w:eastAsia="DaxlinePro-Light" w:hAnsi="Times New Roman" w:cs="Times New Roman"/>
          <w:noProof/>
          <w:sz w:val="24"/>
          <w:szCs w:val="24"/>
        </w:rPr>
      </w:pPr>
    </w:p>
    <w:p w14:paraId="5EC86B59" w14:textId="77777777" w:rsidR="00AC3F92" w:rsidRPr="004E195C" w:rsidRDefault="00AC3F92" w:rsidP="00AC3F92">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EB7979">
        <w:rPr>
          <w:rFonts w:ascii="Times New Roman" w:eastAsia="DaxlinePro-Light" w:hAnsi="Times New Roman" w:cs="Times New Roman"/>
          <w:iCs/>
          <w:noProof/>
          <w:sz w:val="24"/>
          <w:szCs w:val="24"/>
        </w:rPr>
        <w:t>of authorizing the Chief Executive Officer, Ioan-Adrian Bindea, as well as the members of the Board of Directors to sign the contract to be concluded with the member of the Audit and Risk Committee of the Company, appointed in accordance with item 1 on the agenda</w:t>
      </w:r>
      <w:r w:rsidRPr="00725B18">
        <w:rPr>
          <w:rFonts w:ascii="Times New Roman" w:eastAsia="DaxlinePro-Light" w:hAnsi="Times New Roman" w:cs="Times New Roman"/>
          <w:iCs/>
          <w:noProof/>
          <w:sz w:val="24"/>
          <w:szCs w:val="24"/>
        </w:rPr>
        <w:t>.</w:t>
      </w:r>
    </w:p>
    <w:p w14:paraId="49CB134B" w14:textId="77777777" w:rsidR="00AC3F92" w:rsidRPr="004E195C" w:rsidRDefault="00AC3F92" w:rsidP="00AC3F92">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AC3F92" w:rsidRPr="004E195C" w14:paraId="1A44AAEB"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AFF58C"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0F6BB269"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1A8229D"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AC3F92" w:rsidRPr="004E195C" w14:paraId="01CDCDFB"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75DB098"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04C8C0A"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3A526C9"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F63CB4F" w14:textId="77777777" w:rsidR="00AC3F92" w:rsidRPr="004E195C" w:rsidRDefault="00AC3F92" w:rsidP="00AC3F92">
      <w:pPr>
        <w:widowControl w:val="0"/>
        <w:pBdr>
          <w:bottom w:val="single" w:sz="12" w:space="1" w:color="auto"/>
        </w:pBdr>
        <w:jc w:val="both"/>
        <w:rPr>
          <w:rFonts w:ascii="Times New Roman" w:eastAsia="DaxlinePro-Light" w:hAnsi="Times New Roman" w:cs="Times New Roman"/>
          <w:noProof/>
          <w:sz w:val="24"/>
          <w:szCs w:val="24"/>
        </w:rPr>
      </w:pPr>
    </w:p>
    <w:p w14:paraId="1333D82A" w14:textId="77777777" w:rsidR="00AC3F92" w:rsidRPr="005E7DF3" w:rsidRDefault="00AC3F92" w:rsidP="00AC3F92">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Pr>
          <w:rFonts w:ascii="Times New Roman" w:eastAsia="DaxlinePro-Light" w:hAnsi="Times New Roman" w:cs="Times New Roman"/>
          <w:b/>
          <w:bCs/>
          <w:iCs/>
          <w:noProof/>
          <w:sz w:val="24"/>
          <w:szCs w:val="24"/>
        </w:rPr>
        <w:t>Approval</w:t>
      </w:r>
      <w:r w:rsidRPr="005E7DF3">
        <w:rPr>
          <w:rFonts w:ascii="Times New Roman" w:eastAsia="DaxlinePro-Light" w:hAnsi="Times New Roman" w:cs="Times New Roman"/>
          <w:b/>
          <w:bCs/>
          <w:iCs/>
          <w:noProof/>
          <w:sz w:val="24"/>
          <w:szCs w:val="24"/>
        </w:rPr>
        <w:t xml:space="preserve"> </w:t>
      </w:r>
      <w:r w:rsidRPr="00AA1FF8">
        <w:rPr>
          <w:rFonts w:ascii="Times New Roman" w:eastAsia="DaxlinePro-Light" w:hAnsi="Times New Roman" w:cs="Times New Roman"/>
          <w:iCs/>
          <w:noProof/>
          <w:sz w:val="24"/>
          <w:szCs w:val="24"/>
        </w:rPr>
        <w:t>of authorizing the Chief Executive Officer, Ioan-Adrian Bindea, to sign on behalf of the shareholders the resolution of the Ordinary General Meeting of Shareholders (OGMS), as well as all documents to be adopted by the OGMS,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OGMS resolution, including the Articles of Incorporation of the Company, and to undertake any steps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C3F92" w:rsidRPr="004E195C" w14:paraId="53D5F7DB"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8D26F39"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C01B0A7"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7E2D36D"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AC3F92" w:rsidRPr="004E195C" w14:paraId="30B2F6E9"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925EC1"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449F5EB"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46C101D" w14:textId="77777777" w:rsidR="00AC3F92" w:rsidRPr="004E195C" w:rsidRDefault="00AC3F92"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CB72255" w14:textId="77777777" w:rsidR="00AC3F92" w:rsidRPr="004E195C" w:rsidRDefault="00AC3F92" w:rsidP="00AC3F92">
      <w:pPr>
        <w:widowControl w:val="0"/>
        <w:pBdr>
          <w:bottom w:val="single" w:sz="12" w:space="1" w:color="auto"/>
        </w:pBdr>
        <w:jc w:val="both"/>
        <w:rPr>
          <w:rFonts w:ascii="Times New Roman" w:eastAsia="DaxlinePro-Light" w:hAnsi="Times New Roman" w:cs="Times New Roman"/>
          <w:noProof/>
          <w:sz w:val="24"/>
          <w:szCs w:val="24"/>
        </w:rPr>
      </w:pPr>
    </w:p>
    <w:p w14:paraId="7B4D6190" w14:textId="200B5874" w:rsidR="00D70C37" w:rsidRPr="00171A79" w:rsidRDefault="00D70C37" w:rsidP="00AC3F92">
      <w:pPr>
        <w:widowControl w:val="0"/>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5C7C90E6"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AC3F92">
        <w:rPr>
          <w:rFonts w:ascii="Times New Roman" w:eastAsia="DaxlinePro-Light" w:hAnsi="Times New Roman" w:cs="Times New Roman"/>
          <w:b/>
          <w:bCs/>
          <w:noProof/>
          <w:sz w:val="24"/>
          <w:szCs w:val="24"/>
          <w:lang w:val="en-US"/>
        </w:rPr>
        <w:t>18</w:t>
      </w:r>
      <w:r w:rsidR="00976EC1" w:rsidRPr="00976EC1">
        <w:rPr>
          <w:rFonts w:ascii="Times New Roman" w:eastAsia="DaxlinePro-Light" w:hAnsi="Times New Roman" w:cs="Times New Roman"/>
          <w:b/>
          <w:bCs/>
          <w:noProof/>
          <w:sz w:val="24"/>
          <w:szCs w:val="24"/>
          <w:lang w:val="en-US"/>
        </w:rPr>
        <w:t>.</w:t>
      </w:r>
      <w:r w:rsidR="00976EC1">
        <w:rPr>
          <w:rFonts w:ascii="Times New Roman" w:eastAsia="DaxlinePro-Light" w:hAnsi="Times New Roman" w:cs="Times New Roman"/>
          <w:b/>
          <w:bCs/>
          <w:noProof/>
          <w:sz w:val="24"/>
          <w:szCs w:val="24"/>
          <w:lang w:val="en-US"/>
        </w:rPr>
        <w:t>0</w:t>
      </w:r>
      <w:r w:rsidR="00AC3F92">
        <w:rPr>
          <w:rFonts w:ascii="Times New Roman" w:eastAsia="DaxlinePro-Light" w:hAnsi="Times New Roman" w:cs="Times New Roman"/>
          <w:b/>
          <w:bCs/>
          <w:noProof/>
          <w:sz w:val="24"/>
          <w:szCs w:val="24"/>
          <w:lang w:val="en-US"/>
        </w:rPr>
        <w:t>1</w:t>
      </w:r>
      <w:r w:rsidRPr="00171A79">
        <w:rPr>
          <w:rFonts w:ascii="Times New Roman" w:eastAsia="DaxlinePro-Light" w:hAnsi="Times New Roman" w:cs="Times New Roman"/>
          <w:b/>
          <w:bCs/>
          <w:noProof/>
          <w:sz w:val="24"/>
          <w:szCs w:val="24"/>
          <w:lang w:val="en-US"/>
        </w:rPr>
        <w:t>.202</w:t>
      </w:r>
      <w:r w:rsidR="00AC3F92">
        <w:rPr>
          <w:rFonts w:ascii="Times New Roman" w:eastAsia="DaxlinePro-Light" w:hAnsi="Times New Roman" w:cs="Times New Roman"/>
          <w:b/>
          <w:bCs/>
          <w:noProof/>
          <w:sz w:val="24"/>
          <w:szCs w:val="24"/>
          <w:lang w:val="en-US"/>
        </w:rPr>
        <w:t>4</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2B34F5">
      <w:pPr>
        <w:widowControl w:val="0"/>
        <w:spacing w:after="0" w:line="240" w:lineRule="auto"/>
        <w:rPr>
          <w:rFonts w:ascii="Times New Roman" w:eastAsia="DaxlinePro-Light" w:hAnsi="Times New Roman" w:cs="Times New Roman"/>
          <w:noProof/>
          <w:sz w:val="24"/>
          <w:szCs w:val="24"/>
          <w:lang w:val="en-US"/>
        </w:rPr>
      </w:pPr>
    </w:p>
    <w:p w14:paraId="65D9B40B" w14:textId="2F5FA5C6"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2B34F5">
      <w:pPr>
        <w:widowControl w:val="0"/>
        <w:spacing w:after="0" w:line="240"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2B34F5">
      <w:pPr>
        <w:widowControl w:val="0"/>
        <w:spacing w:after="0" w:line="240"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2B34F5">
      <w:pPr>
        <w:widowControl w:val="0"/>
        <w:spacing w:after="0" w:line="240"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77534BE7" w14:textId="7E1D716B" w:rsidR="00C507A2" w:rsidRDefault="00D70C37"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C507A2"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7C6"/>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3F92"/>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6B27"/>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8312E"/>
    <w:rsid w:val="00F84BF7"/>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6BFE5F4A-8D5A-4E65-AA3B-A9C21D46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38</cp:revision>
  <cp:lastPrinted>2019-03-20T15:50:00Z</cp:lastPrinted>
  <dcterms:created xsi:type="dcterms:W3CDTF">2022-03-25T14:02:00Z</dcterms:created>
  <dcterms:modified xsi:type="dcterms:W3CDTF">2023-12-28T12:22:00Z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