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2F32E843"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BE5984">
        <w:rPr>
          <w:rFonts w:ascii="Times New Roman" w:hAnsi="Times New Roman" w:cs="Times New Roman"/>
          <w:b/>
          <w:sz w:val="24"/>
          <w:szCs w:val="24"/>
          <w:highlight w:val="yellow"/>
          <w:lang w:val="en-US"/>
        </w:rPr>
        <w:t>02</w:t>
      </w:r>
      <w:r w:rsidRPr="00281CB5">
        <w:rPr>
          <w:rFonts w:ascii="Times New Roman" w:hAnsi="Times New Roman" w:cs="Times New Roman"/>
          <w:b/>
          <w:sz w:val="24"/>
          <w:szCs w:val="24"/>
          <w:lang w:val="en-US"/>
        </w:rPr>
        <w:t>]/[</w:t>
      </w:r>
      <w:r w:rsidR="00BE5984">
        <w:rPr>
          <w:rFonts w:ascii="Times New Roman" w:hAnsi="Times New Roman" w:cs="Times New Roman"/>
          <w:b/>
          <w:sz w:val="24"/>
          <w:szCs w:val="24"/>
          <w:highlight w:val="yellow"/>
          <w:lang w:val="en-US"/>
        </w:rPr>
        <w:t>03</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BE5984">
        <w:rPr>
          <w:rFonts w:ascii="Times New Roman" w:hAnsi="Times New Roman" w:cs="Times New Roman"/>
          <w:b/>
          <w:sz w:val="24"/>
          <w:szCs w:val="24"/>
          <w:lang w:val="en-US"/>
        </w:rPr>
        <w:t>SEPTEMBER</w:t>
      </w:r>
      <w:r w:rsidR="00155917">
        <w:rPr>
          <w:rFonts w:ascii="Times New Roman" w:hAnsi="Times New Roman" w:cs="Times New Roman"/>
          <w:b/>
          <w:sz w:val="24"/>
          <w:szCs w:val="24"/>
          <w:lang w:val="en-US"/>
        </w:rPr>
        <w:t xml:space="preserve"> 202</w:t>
      </w:r>
      <w:r w:rsidR="00223102">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791CD0F9"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w:t>
      </w:r>
      <w:r w:rsidR="00223102" w:rsidRPr="00223102">
        <w:rPr>
          <w:rFonts w:ascii="Times New Roman" w:hAnsi="Times New Roman" w:cs="Times New Roman"/>
          <w:bCs/>
          <w:sz w:val="24"/>
          <w:szCs w:val="24"/>
          <w:lang w:val="en-US"/>
        </w:rPr>
        <w:t>248,672,220</w:t>
      </w:r>
      <w:r w:rsidRPr="00281CB5">
        <w:rPr>
          <w:rFonts w:ascii="Times New Roman" w:hAnsi="Times New Roman" w:cs="Times New Roman"/>
          <w:bCs/>
          <w:sz w:val="24"/>
          <w:szCs w:val="24"/>
          <w:lang w:val="en-US"/>
        </w:rPr>
        <w:t xml:space="preserve">, divided into </w:t>
      </w:r>
      <w:r w:rsidR="00223102" w:rsidRPr="00223102">
        <w:rPr>
          <w:rFonts w:ascii="Times New Roman" w:hAnsi="Times New Roman" w:cs="Times New Roman"/>
          <w:bCs/>
          <w:sz w:val="24"/>
          <w:szCs w:val="24"/>
          <w:lang w:val="en-US"/>
        </w:rPr>
        <w:t>24,867,222</w:t>
      </w:r>
      <w:r w:rsidR="00223102">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BE5984">
        <w:rPr>
          <w:rFonts w:ascii="Times New Roman" w:hAnsi="Times New Roman" w:cs="Times New Roman"/>
          <w:bCs/>
          <w:sz w:val="24"/>
          <w:szCs w:val="24"/>
          <w:highlight w:val="yellow"/>
          <w:lang w:val="en-US"/>
        </w:rPr>
        <w:t>02</w:t>
      </w:r>
      <w:r w:rsidRPr="00281CB5">
        <w:rPr>
          <w:rFonts w:ascii="Times New Roman" w:hAnsi="Times New Roman" w:cs="Times New Roman"/>
          <w:bCs/>
          <w:sz w:val="24"/>
          <w:szCs w:val="24"/>
          <w:lang w:val="en-US"/>
        </w:rPr>
        <w:t>]/[</w:t>
      </w:r>
      <w:r w:rsidR="00BE5984">
        <w:rPr>
          <w:rFonts w:ascii="Times New Roman" w:hAnsi="Times New Roman" w:cs="Times New Roman"/>
          <w:bCs/>
          <w:sz w:val="24"/>
          <w:szCs w:val="24"/>
          <w:highlight w:val="yellow"/>
          <w:lang w:val="en-US"/>
        </w:rPr>
        <w:t>03</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BE5984">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at 1</w:t>
      </w:r>
      <w:r w:rsidR="00BE5984">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w:t>
      </w:r>
      <w:r w:rsidR="00223102">
        <w:rPr>
          <w:rFonts w:ascii="Times New Roman" w:hAnsi="Times New Roman" w:cs="Times New Roman"/>
          <w:bCs/>
          <w:sz w:val="24"/>
          <w:szCs w:val="24"/>
          <w:lang w:val="en-US"/>
        </w:rPr>
        <w:t>0</w:t>
      </w:r>
      <w:r w:rsidRPr="00281CB5">
        <w:rPr>
          <w:rFonts w:ascii="Times New Roman" w:hAnsi="Times New Roman" w:cs="Times New Roman"/>
          <w:bCs/>
          <w:sz w:val="24"/>
          <w:szCs w:val="24"/>
          <w:lang w:val="en-US"/>
        </w:rPr>
        <w:t>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2D77FC73"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5B4ED7" w:rsidRPr="00281CB5">
        <w:rPr>
          <w:rFonts w:ascii="Times New Roman" w:hAnsi="Times New Roman" w:cs="Times New Roman"/>
          <w:bCs/>
          <w:sz w:val="24"/>
          <w:szCs w:val="24"/>
          <w:lang w:val="en-US"/>
        </w:rPr>
        <w:t>[</w:t>
      </w:r>
      <w:r w:rsidR="00BE5984">
        <w:rPr>
          <w:rFonts w:ascii="Times New Roman" w:hAnsi="Times New Roman" w:cs="Times New Roman"/>
          <w:bCs/>
          <w:sz w:val="24"/>
          <w:szCs w:val="24"/>
          <w:highlight w:val="yellow"/>
          <w:lang w:val="en-US"/>
        </w:rPr>
        <w:t>02</w:t>
      </w:r>
      <w:r w:rsidR="005B4ED7" w:rsidRPr="00281CB5">
        <w:rPr>
          <w:rFonts w:ascii="Times New Roman" w:hAnsi="Times New Roman" w:cs="Times New Roman"/>
          <w:bCs/>
          <w:sz w:val="24"/>
          <w:szCs w:val="24"/>
          <w:lang w:val="en-US"/>
        </w:rPr>
        <w:t>]/[</w:t>
      </w:r>
      <w:r w:rsidR="00BE5984">
        <w:rPr>
          <w:rFonts w:ascii="Times New Roman" w:hAnsi="Times New Roman" w:cs="Times New Roman"/>
          <w:bCs/>
          <w:sz w:val="24"/>
          <w:szCs w:val="24"/>
          <w:highlight w:val="yellow"/>
          <w:lang w:val="en-US"/>
        </w:rPr>
        <w:t>03</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lang w:val="en-US"/>
        </w:rPr>
        <w:t xml:space="preserve"> </w:t>
      </w:r>
      <w:r w:rsidR="00BE5984">
        <w:rPr>
          <w:rFonts w:ascii="Times New Roman" w:hAnsi="Times New Roman" w:cs="Times New Roman"/>
          <w:bCs/>
          <w:sz w:val="24"/>
          <w:szCs w:val="24"/>
          <w:lang w:val="en-US"/>
        </w:rPr>
        <w:t>September</w:t>
      </w:r>
      <w:r w:rsidR="005B4ED7">
        <w:rPr>
          <w:rFonts w:ascii="Times New Roman" w:hAnsi="Times New Roman" w:cs="Times New Roman"/>
          <w:bCs/>
          <w:sz w:val="24"/>
          <w:szCs w:val="24"/>
          <w:lang w:val="en-US"/>
        </w:rPr>
        <w:t xml:space="preserve"> </w:t>
      </w:r>
      <w:r w:rsidR="005B4ED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22457755"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806110">
        <w:rPr>
          <w:rFonts w:ascii="Times New Roman" w:hAnsi="Times New Roman" w:cs="Times New Roman"/>
          <w:bCs/>
          <w:sz w:val="24"/>
          <w:szCs w:val="24"/>
          <w:lang w:val="en-US"/>
        </w:rPr>
        <w:t>29</w:t>
      </w:r>
      <w:r w:rsidR="00155917">
        <w:rPr>
          <w:rFonts w:ascii="Times New Roman" w:hAnsi="Times New Roman" w:cs="Times New Roman"/>
          <w:bCs/>
          <w:sz w:val="24"/>
          <w:szCs w:val="24"/>
          <w:lang w:val="en-US"/>
        </w:rPr>
        <w:t xml:space="preserve"> </w:t>
      </w:r>
      <w:r w:rsidR="00806110">
        <w:rPr>
          <w:rFonts w:ascii="Times New Roman" w:hAnsi="Times New Roman" w:cs="Times New Roman"/>
          <w:bCs/>
          <w:sz w:val="24"/>
          <w:szCs w:val="24"/>
          <w:lang w:val="en-US"/>
        </w:rPr>
        <w:t>July</w:t>
      </w:r>
      <w:r w:rsidR="00155917">
        <w:rPr>
          <w:rFonts w:ascii="Times New Roman" w:hAnsi="Times New Roman" w:cs="Times New Roman"/>
          <w:bCs/>
          <w:sz w:val="24"/>
          <w:szCs w:val="24"/>
          <w:lang w:val="en-US"/>
        </w:rPr>
        <w:t xml:space="preserve"> 202</w:t>
      </w:r>
      <w:r w:rsidR="00223102">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5B4ED7">
        <w:rPr>
          <w:rFonts w:ascii="Times New Roman" w:hAnsi="Times New Roman" w:cs="Times New Roman"/>
          <w:bCs/>
          <w:sz w:val="24"/>
          <w:szCs w:val="24"/>
          <w:lang w:val="en-US"/>
        </w:rPr>
        <w:t>[</w:t>
      </w:r>
      <w:r w:rsidR="005B4ED7" w:rsidRPr="00FB1245">
        <w:rPr>
          <w:rFonts w:ascii="Times New Roman" w:hAnsi="Times New Roman" w:cs="Times New Roman"/>
          <w:bCs/>
          <w:sz w:val="24"/>
          <w:szCs w:val="24"/>
          <w:highlight w:val="yellow"/>
          <w:lang w:val="en-US"/>
        </w:rPr>
        <w:t>●</w:t>
      </w:r>
      <w:r w:rsidR="005B4ED7">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806110">
        <w:rPr>
          <w:rFonts w:ascii="Times New Roman" w:hAnsi="Times New Roman" w:cs="Times New Roman"/>
          <w:bCs/>
          <w:sz w:val="24"/>
          <w:szCs w:val="24"/>
          <w:lang w:val="en-US"/>
        </w:rPr>
        <w:t>30</w:t>
      </w:r>
      <w:r w:rsidR="00223102">
        <w:rPr>
          <w:rFonts w:ascii="Times New Roman" w:hAnsi="Times New Roman" w:cs="Times New Roman"/>
          <w:bCs/>
          <w:sz w:val="24"/>
          <w:szCs w:val="24"/>
          <w:lang w:val="en-US"/>
        </w:rPr>
        <w:t xml:space="preserve"> </w:t>
      </w:r>
      <w:r w:rsidR="00806110">
        <w:rPr>
          <w:rFonts w:ascii="Times New Roman" w:hAnsi="Times New Roman" w:cs="Times New Roman"/>
          <w:bCs/>
          <w:sz w:val="24"/>
          <w:szCs w:val="24"/>
          <w:lang w:val="en-US"/>
        </w:rPr>
        <w:t>July</w:t>
      </w:r>
      <w:r w:rsidR="00223102">
        <w:rPr>
          <w:rFonts w:ascii="Times New Roman" w:hAnsi="Times New Roman" w:cs="Times New Roman"/>
          <w:bCs/>
          <w:sz w:val="24"/>
          <w:szCs w:val="24"/>
          <w:lang w:val="en-US"/>
        </w:rPr>
        <w:t xml:space="preserve"> 2024</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806110">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806110">
        <w:rPr>
          <w:rFonts w:ascii="Times New Roman" w:hAnsi="Times New Roman" w:cs="Times New Roman"/>
          <w:bCs/>
          <w:sz w:val="24"/>
          <w:szCs w:val="24"/>
          <w:lang w:val="en-US"/>
        </w:rPr>
        <w:t>30</w:t>
      </w:r>
      <w:r w:rsidR="00223102">
        <w:rPr>
          <w:rFonts w:ascii="Times New Roman" w:hAnsi="Times New Roman" w:cs="Times New Roman"/>
          <w:bCs/>
          <w:sz w:val="24"/>
          <w:szCs w:val="24"/>
          <w:lang w:val="en-US"/>
        </w:rPr>
        <w:t xml:space="preserve"> </w:t>
      </w:r>
      <w:r w:rsidR="00806110">
        <w:rPr>
          <w:rFonts w:ascii="Times New Roman" w:hAnsi="Times New Roman" w:cs="Times New Roman"/>
          <w:bCs/>
          <w:sz w:val="24"/>
          <w:szCs w:val="24"/>
          <w:lang w:val="en-US"/>
        </w:rPr>
        <w:t>July</w:t>
      </w:r>
      <w:r w:rsidR="00223102">
        <w:rPr>
          <w:rFonts w:ascii="Times New Roman" w:hAnsi="Times New Roman" w:cs="Times New Roman"/>
          <w:bCs/>
          <w:sz w:val="24"/>
          <w:szCs w:val="24"/>
          <w:lang w:val="en-US"/>
        </w:rPr>
        <w:t xml:space="preserve"> 2024</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223102">
        <w:rPr>
          <w:rFonts w:ascii="Times New Roman" w:hAnsi="Times New Roman" w:cs="Times New Roman"/>
          <w:bCs/>
          <w:sz w:val="24"/>
          <w:szCs w:val="24"/>
          <w:lang w:val="en-US"/>
        </w:rPr>
        <w:t>2</w:t>
      </w:r>
      <w:r w:rsidR="00806110">
        <w:rPr>
          <w:rFonts w:ascii="Times New Roman" w:hAnsi="Times New Roman" w:cs="Times New Roman"/>
          <w:bCs/>
          <w:sz w:val="24"/>
          <w:szCs w:val="24"/>
          <w:lang w:val="en-US"/>
        </w:rPr>
        <w:t>9</w:t>
      </w:r>
      <w:r w:rsidR="00223102">
        <w:rPr>
          <w:rFonts w:ascii="Times New Roman" w:hAnsi="Times New Roman" w:cs="Times New Roman"/>
          <w:bCs/>
          <w:sz w:val="24"/>
          <w:szCs w:val="24"/>
          <w:lang w:val="en-US"/>
        </w:rPr>
        <w:t xml:space="preserve"> </w:t>
      </w:r>
      <w:r w:rsidR="00806110">
        <w:rPr>
          <w:rFonts w:ascii="Times New Roman" w:hAnsi="Times New Roman" w:cs="Times New Roman"/>
          <w:bCs/>
          <w:sz w:val="24"/>
          <w:szCs w:val="24"/>
          <w:lang w:val="en-US"/>
        </w:rPr>
        <w:t>July</w:t>
      </w:r>
      <w:r w:rsidR="00223102">
        <w:rPr>
          <w:rFonts w:ascii="Times New Roman" w:hAnsi="Times New Roman" w:cs="Times New Roman"/>
          <w:bCs/>
          <w:sz w:val="24"/>
          <w:szCs w:val="24"/>
          <w:lang w:val="en-US"/>
        </w:rPr>
        <w:t xml:space="preserve"> 2024</w:t>
      </w:r>
      <w:r w:rsidRPr="00281CB5">
        <w:rPr>
          <w:rFonts w:ascii="Times New Roman" w:hAnsi="Times New Roman" w:cs="Times New Roman"/>
          <w:bCs/>
          <w:sz w:val="24"/>
          <w:szCs w:val="24"/>
          <w:lang w:val="en-US"/>
        </w:rPr>
        <w:t>;</w:t>
      </w:r>
    </w:p>
    <w:p w14:paraId="02EA6E41" w14:textId="143E12C9"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806110">
        <w:rPr>
          <w:rFonts w:ascii="Times New Roman" w:hAnsi="Times New Roman" w:cs="Times New Roman"/>
          <w:bCs/>
          <w:sz w:val="24"/>
          <w:szCs w:val="24"/>
          <w:highlight w:val="yellow"/>
          <w:lang w:val="en-US"/>
        </w:rPr>
        <w:t>02</w:t>
      </w:r>
      <w:r w:rsidR="00155917" w:rsidRPr="00281CB5">
        <w:rPr>
          <w:rFonts w:ascii="Times New Roman" w:hAnsi="Times New Roman" w:cs="Times New Roman"/>
          <w:bCs/>
          <w:sz w:val="24"/>
          <w:szCs w:val="24"/>
          <w:lang w:val="en-US"/>
        </w:rPr>
        <w:t>]/[</w:t>
      </w:r>
      <w:r w:rsidR="00806110">
        <w:rPr>
          <w:rFonts w:ascii="Times New Roman" w:hAnsi="Times New Roman" w:cs="Times New Roman"/>
          <w:bCs/>
          <w:sz w:val="24"/>
          <w:szCs w:val="24"/>
          <w:highlight w:val="yellow"/>
          <w:lang w:val="en-US"/>
        </w:rPr>
        <w:t>03</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806110">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806110">
        <w:rPr>
          <w:rFonts w:ascii="Times New Roman" w:hAnsi="Times New Roman" w:cs="Times New Roman"/>
          <w:bCs/>
          <w:sz w:val="24"/>
          <w:szCs w:val="24"/>
          <w:lang w:val="en-US"/>
        </w:rPr>
        <w:t>21</w:t>
      </w:r>
      <w:r w:rsidR="00155917">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A</w:t>
      </w:r>
      <w:r w:rsidR="00806110">
        <w:rPr>
          <w:rFonts w:ascii="Times New Roman" w:hAnsi="Times New Roman" w:cs="Times New Roman"/>
          <w:bCs/>
          <w:sz w:val="24"/>
          <w:szCs w:val="24"/>
          <w:lang w:val="en-US"/>
        </w:rPr>
        <w:t>ugust</w:t>
      </w:r>
      <w:r w:rsidR="00155917">
        <w:rPr>
          <w:rFonts w:ascii="Times New Roman" w:hAnsi="Times New Roman" w:cs="Times New Roman"/>
          <w:bCs/>
          <w:sz w:val="24"/>
          <w:szCs w:val="24"/>
          <w:lang w:val="en-US"/>
        </w:rPr>
        <w:t xml:space="preserve"> 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24C333E2"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company's intention is to split the nominal value of its shares, as mentioned in the explanatory note published on the Company's website;</w:t>
      </w:r>
    </w:p>
    <w:p w14:paraId="6E5D9654"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Company's intention is to initiate a bond issuance program to be carried out through one or more subsequent issuances, with a maximum value (nominal value) of up to 50,000,000 RON, with a minimum success threshold of 25,000,000 RON, over a maximum period of 2 years from the date of its approval by the EGMS, as mentioned in the explanatory note published on the Company's website;</w:t>
      </w:r>
    </w:p>
    <w:p w14:paraId="66054A37"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 xml:space="preserve">The Company is the sole shareholder of EVOLOR S.R.L., a company established and operating in accordance with Romanian laws, registered with the Trade Register of the Vâlcea Tribunal under no. J38/999/1993, having unique registration code 4701754, with </w:t>
      </w:r>
      <w:r w:rsidRPr="001C1A77">
        <w:rPr>
          <w:rFonts w:ascii="Times New Roman" w:hAnsi="Times New Roman" w:cs="Times New Roman"/>
          <w:noProof/>
          <w:sz w:val="24"/>
          <w:szCs w:val="24"/>
          <w:lang w:val="en-US"/>
        </w:rPr>
        <w:lastRenderedPageBreak/>
        <w:t>its registered office in Buleta Village, Mihăești Commune, Depozitelor Street no. 5, Vâlcea County, Romania ("EVOLOR").</w:t>
      </w:r>
    </w:p>
    <w:p w14:paraId="4B9B585D"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 as lender, entered into a loan agreement on 25.11.2021 with Colorock13 S.R.L. (a company dissolved following the merger by absorption by Sarcom S.R.L. (now EVOLOR – the surviving entity), as borrower, for the amount of 24,000,000 RON, with a due date of 25.11.2024.</w:t>
      </w:r>
    </w:p>
    <w:p w14:paraId="259706EA"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Additionally, the Company, as lender, entered into a loan agreement on 18.11.2022 with Colorock13 S.R.L. (a company dissolved following the merger by absorption by Sarcom S.R.L. (now EVOLOR – the surviving entity), as borrower, for the amount of 5,099,691 RON, with a due date of 18.11.2024.</w:t>
      </w:r>
    </w:p>
    <w:p w14:paraId="146D18DA"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 xml:space="preserve">The Company is the sole shareholder of ECO EURO DOORS S.R.L., a company established and operating in accordance with Romanian laws, registered with the Trade Register under no. </w:t>
      </w:r>
      <w:r w:rsidRPr="001C1A77">
        <w:rPr>
          <w:rFonts w:ascii="Times New Roman" w:hAnsi="Times New Roman" w:cs="Times New Roman"/>
          <w:noProof/>
          <w:sz w:val="24"/>
          <w:szCs w:val="24"/>
        </w:rPr>
        <w:t>J26/1208/2011</w:t>
      </w:r>
      <w:r w:rsidRPr="001C1A77">
        <w:rPr>
          <w:rFonts w:ascii="Times New Roman" w:hAnsi="Times New Roman" w:cs="Times New Roman"/>
          <w:noProof/>
          <w:sz w:val="24"/>
          <w:szCs w:val="24"/>
          <w:lang w:val="en-US"/>
        </w:rPr>
        <w:t xml:space="preserve">, having unique registration code </w:t>
      </w:r>
      <w:r w:rsidRPr="001C1A77">
        <w:rPr>
          <w:rFonts w:ascii="Times New Roman" w:hAnsi="Times New Roman" w:cs="Times New Roman"/>
          <w:noProof/>
          <w:sz w:val="24"/>
          <w:szCs w:val="24"/>
        </w:rPr>
        <w:t>29460015</w:t>
      </w:r>
      <w:r w:rsidRPr="001C1A77">
        <w:rPr>
          <w:rFonts w:ascii="Times New Roman" w:hAnsi="Times New Roman" w:cs="Times New Roman"/>
          <w:noProof/>
          <w:sz w:val="24"/>
          <w:szCs w:val="24"/>
          <w:lang w:val="en-US"/>
        </w:rPr>
        <w:t>, with its registered office in Reghin, Carpați Street No. 11, Mureș County, Romania ("EED").</w:t>
      </w:r>
    </w:p>
    <w:p w14:paraId="385F2D00" w14:textId="77777777" w:rsidR="001C1A77" w:rsidRPr="001C1A77" w:rsidRDefault="001C1A77" w:rsidP="001C1A77">
      <w:pPr>
        <w:spacing w:after="0" w:line="360" w:lineRule="auto"/>
        <w:ind w:left="720"/>
        <w:jc w:val="both"/>
        <w:rPr>
          <w:rFonts w:ascii="Times New Roman" w:hAnsi="Times New Roman" w:cs="Times New Roman"/>
          <w:noProof/>
          <w:sz w:val="24"/>
          <w:szCs w:val="24"/>
        </w:rPr>
      </w:pPr>
      <w:r w:rsidRPr="001C1A77">
        <w:rPr>
          <w:rFonts w:ascii="Times New Roman" w:hAnsi="Times New Roman" w:cs="Times New Roman"/>
          <w:noProof/>
          <w:sz w:val="24"/>
          <w:szCs w:val="24"/>
        </w:rPr>
        <w:t>The Company, as lender, entered into a loan agreement on 16.12.2022 with Doorsrock4 S.R.L. (a company dissolved following the merger by absorption by EED), as borrower, for the amount of 350,000 EUR, with a due date of 16.12.2024.</w:t>
      </w:r>
    </w:p>
    <w:p w14:paraId="364E2F9E"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 xml:space="preserve">The Company is the sole shareholder of DIAL S.R.L., a company established and operating in accordance with Romanian laws, registered with the Trade Register under no. </w:t>
      </w:r>
      <w:r w:rsidRPr="001C1A77">
        <w:rPr>
          <w:rFonts w:ascii="Times New Roman" w:hAnsi="Times New Roman" w:cs="Times New Roman"/>
          <w:noProof/>
          <w:sz w:val="24"/>
          <w:szCs w:val="24"/>
        </w:rPr>
        <w:t>J13/5526/1994</w:t>
      </w:r>
      <w:r w:rsidRPr="001C1A77">
        <w:rPr>
          <w:rFonts w:ascii="Times New Roman" w:hAnsi="Times New Roman" w:cs="Times New Roman"/>
          <w:noProof/>
          <w:sz w:val="24"/>
          <w:szCs w:val="24"/>
          <w:lang w:val="en-US"/>
        </w:rPr>
        <w:t xml:space="preserve">, having unique registration code </w:t>
      </w:r>
      <w:r w:rsidRPr="001C1A77">
        <w:rPr>
          <w:rFonts w:ascii="Times New Roman" w:hAnsi="Times New Roman" w:cs="Times New Roman"/>
          <w:noProof/>
          <w:sz w:val="24"/>
          <w:szCs w:val="24"/>
        </w:rPr>
        <w:t>6776141</w:t>
      </w:r>
      <w:r w:rsidRPr="001C1A77">
        <w:rPr>
          <w:rFonts w:ascii="Times New Roman" w:hAnsi="Times New Roman" w:cs="Times New Roman"/>
          <w:noProof/>
          <w:sz w:val="24"/>
          <w:szCs w:val="24"/>
          <w:lang w:val="en-US"/>
        </w:rPr>
        <w:t>, with its registered office in Hârșova Town, Hârșova City, Șoseaua Constanței Street, No. 17, Constanța County, Romania ("DIAL").</w:t>
      </w:r>
    </w:p>
    <w:p w14:paraId="50586962"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 as lender, entered into a Loan Agreement on 20.09.2022 with Nativerock1 S.R.L. (a company dissolved following the merger by absorption by DIAL), as borrower, for the amount of 6,500,000 EUR. As a result of the Extraordinary General Meeting of Shareholders of the Company on 20.12.2023 and based on the Addendum No. 1 dated 20.12.2023 to the Loan Agreement, the parties agreed on the early repayment of 7,000,000 RON from the total loan amount by converting this amount into shares of DIAL. The remaining loan balance is due on 19.09.2024.</w:t>
      </w:r>
    </w:p>
    <w:p w14:paraId="6ACFB93A"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p>
    <w:p w14:paraId="3E01E41A"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Additionally, as lender, the Company entered into a Loan Agreement on 30.08.2023 with DIAL, as borrower, for the amount of 1,200,000 EUR, which is due on 29.08.2024.</w:t>
      </w:r>
    </w:p>
    <w:p w14:paraId="1A99C8C0" w14:textId="77777777" w:rsidR="001C1A77" w:rsidRPr="001C1A77" w:rsidRDefault="001C1A77" w:rsidP="001C1A77">
      <w:pPr>
        <w:pStyle w:val="ListParagraph"/>
        <w:numPr>
          <w:ilvl w:val="0"/>
          <w:numId w:val="30"/>
        </w:numPr>
        <w:spacing w:after="0" w:line="360" w:lineRule="auto"/>
        <w:ind w:hanging="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 is the majority shareholder of ELECTROPLAST S.A., a joint-stock company established and operating in accordance with Romanian laws, with its registered office in Bistrița, Subcetate Street No. 14, Bistrița-Năsăud County, registered with the Trade Register under No. J6/1036/1993, unique registration code 5027384 ("ELP").</w:t>
      </w:r>
    </w:p>
    <w:p w14:paraId="45A7B28D" w14:textId="7A0F9008" w:rsidR="001C1A77" w:rsidRPr="001C1A77" w:rsidRDefault="001C1A77" w:rsidP="001C1A77">
      <w:pPr>
        <w:spacing w:after="0" w:line="360" w:lineRule="auto"/>
        <w:ind w:left="720"/>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 xml:space="preserve">As a result of the Assignment of Claims Agreement dated 30.06.2023, Roca Industry, as assignee, took over from </w:t>
      </w:r>
      <w:r w:rsidRPr="001C1A77">
        <w:rPr>
          <w:rFonts w:ascii="Times New Roman" w:hAnsi="Times New Roman" w:cs="Times New Roman"/>
          <w:noProof/>
          <w:sz w:val="24"/>
          <w:szCs w:val="24"/>
        </w:rPr>
        <w:t>Societatea de Investiții Alternative cu Capital Privat Roca Investments S.A.</w:t>
      </w:r>
      <w:r w:rsidRPr="001C1A77">
        <w:rPr>
          <w:rFonts w:ascii="Times New Roman" w:hAnsi="Times New Roman" w:cs="Times New Roman"/>
          <w:noProof/>
          <w:sz w:val="24"/>
          <w:szCs w:val="24"/>
          <w:lang w:val="en-US"/>
        </w:rPr>
        <w:t>, the claims arising from the loan agreements concluded by the latter with ELP, as borrower, namely the following:</w:t>
      </w:r>
    </w:p>
    <w:p w14:paraId="4D79A643" w14:textId="77777777" w:rsidR="001C1A77" w:rsidRPr="001C1A77" w:rsidRDefault="001C1A77" w:rsidP="001C1A77">
      <w:pPr>
        <w:pStyle w:val="ListParagraph"/>
        <w:numPr>
          <w:ilvl w:val="0"/>
          <w:numId w:val="31"/>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Loan Agreement No. 71/08.01.2019, for the amount of 600,000 EUR, which is due on 31.12.2024;</w:t>
      </w:r>
    </w:p>
    <w:p w14:paraId="4EEC266A" w14:textId="77777777" w:rsidR="001C1A77" w:rsidRPr="001C1A77" w:rsidRDefault="001C1A77" w:rsidP="001C1A77">
      <w:pPr>
        <w:pStyle w:val="ListParagraph"/>
        <w:numPr>
          <w:ilvl w:val="0"/>
          <w:numId w:val="31"/>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Loan Agreement dated 17.09.2019, for the amount of 256,203 EUR, which is due on 31.12.2024;</w:t>
      </w:r>
    </w:p>
    <w:p w14:paraId="548A94B0" w14:textId="77777777" w:rsidR="001C1A77" w:rsidRPr="001C1A77" w:rsidRDefault="001C1A77" w:rsidP="001C1A77">
      <w:pPr>
        <w:pStyle w:val="ListParagraph"/>
        <w:numPr>
          <w:ilvl w:val="0"/>
          <w:numId w:val="31"/>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Loan Agreement No. 4/29.12.2020, for the amount of 200,000 EUR, which is due on 31.12.2024;</w:t>
      </w:r>
    </w:p>
    <w:p w14:paraId="6376F828" w14:textId="77777777" w:rsidR="001C1A77" w:rsidRPr="001C1A77" w:rsidRDefault="001C1A77" w:rsidP="001C1A77">
      <w:pPr>
        <w:pStyle w:val="ListParagraph"/>
        <w:numPr>
          <w:ilvl w:val="0"/>
          <w:numId w:val="31"/>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Assignment of Claims Agreement concluded on 21.12.2021, for the amount of 678,440 RON, which is due on 31.12.2024;</w:t>
      </w:r>
    </w:p>
    <w:p w14:paraId="3375B352" w14:textId="08B9D6B1" w:rsidR="001C1A77" w:rsidRPr="001C1A77" w:rsidRDefault="001C1A77" w:rsidP="001C1A77">
      <w:pPr>
        <w:pStyle w:val="ListParagraph"/>
        <w:numPr>
          <w:ilvl w:val="0"/>
          <w:numId w:val="31"/>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Assignment of Claims Agreement concluded on 01.02.2023, for the amount of 1,356,880 RON, which is due on 31.12.2024.</w:t>
      </w:r>
    </w:p>
    <w:p w14:paraId="07D5767E" w14:textId="26A8B0FB" w:rsidR="001C1A77" w:rsidRPr="001C1A77" w:rsidRDefault="001C1A77" w:rsidP="001C1A77">
      <w:pPr>
        <w:pStyle w:val="ListParagraph"/>
        <w:numPr>
          <w:ilvl w:val="0"/>
          <w:numId w:val="30"/>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Company's intention is to extend the maturity of the loans granted to its subsidiaries by an additional period of 3 (three) years.</w:t>
      </w:r>
    </w:p>
    <w:p w14:paraId="232F7041" w14:textId="77777777" w:rsidR="001C1A77" w:rsidRPr="001C1A77" w:rsidRDefault="001C1A77" w:rsidP="001C1A77">
      <w:pPr>
        <w:pStyle w:val="ListParagraph"/>
        <w:numPr>
          <w:ilvl w:val="0"/>
          <w:numId w:val="30"/>
        </w:numPr>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 xml:space="preserve">The Company has as its majority shareholder </w:t>
      </w:r>
      <w:r w:rsidRPr="001C1A77">
        <w:rPr>
          <w:rFonts w:ascii="Times New Roman" w:hAnsi="Times New Roman" w:cs="Times New Roman"/>
          <w:noProof/>
          <w:sz w:val="24"/>
          <w:szCs w:val="24"/>
        </w:rPr>
        <w:t>Societatea de Investiții Alternative cu Capital Privat Roca Investments S.A.</w:t>
      </w:r>
      <w:r w:rsidRPr="001C1A77">
        <w:rPr>
          <w:rFonts w:ascii="Times New Roman" w:hAnsi="Times New Roman" w:cs="Times New Roman"/>
          <w:noProof/>
          <w:sz w:val="24"/>
          <w:szCs w:val="24"/>
          <w:lang w:val="en-US"/>
        </w:rPr>
        <w:t>, a joint-stock company established and operating in accordance with Romanian legislation, with its registered office located in Bucharest, Gara Herăstrău Street, No. 4, Building A, 3rd Floor, Module 17, Sector 2, Romania, registered with the Trade Register under No. J40/15602/2017, with unique registration code 38201915 (“Roca Investments”).</w:t>
      </w:r>
    </w:p>
    <w:p w14:paraId="6DF23518"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p>
    <w:p w14:paraId="21870813" w14:textId="77777777"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Roca Investments, as lender, entered into a loan agreement on 30.08.2023 with Roca Industry, as borrower, for the amount of 1,200,000 EUR, with a due date of 30.08.2024.</w:t>
      </w:r>
    </w:p>
    <w:p w14:paraId="750611E1" w14:textId="7746C571" w:rsidR="001C1A77" w:rsidRPr="001C1A77" w:rsidRDefault="001C1A77" w:rsidP="001C1A77">
      <w:pPr>
        <w:pStyle w:val="ListParagraph"/>
        <w:spacing w:after="0" w:line="360" w:lineRule="auto"/>
        <w:jc w:val="both"/>
        <w:rPr>
          <w:rFonts w:ascii="Times New Roman" w:hAnsi="Times New Roman" w:cs="Times New Roman"/>
          <w:noProof/>
          <w:sz w:val="24"/>
          <w:szCs w:val="24"/>
          <w:lang w:val="en-US"/>
        </w:rPr>
      </w:pPr>
      <w:r w:rsidRPr="001C1A77">
        <w:rPr>
          <w:rFonts w:ascii="Times New Roman" w:hAnsi="Times New Roman" w:cs="Times New Roman"/>
          <w:noProof/>
          <w:sz w:val="24"/>
          <w:szCs w:val="24"/>
          <w:lang w:val="en-US"/>
        </w:rPr>
        <w:t>The Company's intention is to extend the maturity of the loan granted by Roca Investments by an additional period of 3 (three) years</w:t>
      </w:r>
      <w:r>
        <w:rPr>
          <w:rFonts w:ascii="Times New Roman" w:hAnsi="Times New Roman" w:cs="Times New Roman"/>
          <w:noProof/>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2DF3E984"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1C1A77">
        <w:rPr>
          <w:rFonts w:ascii="Times New Roman" w:hAnsi="Times New Roman" w:cs="Times New Roman"/>
          <w:b/>
          <w:sz w:val="24"/>
          <w:szCs w:val="24"/>
          <w:highlight w:val="yellow"/>
          <w:lang w:val="en-US"/>
        </w:rPr>
        <w:t>02</w:t>
      </w:r>
      <w:r w:rsidR="004C023D" w:rsidRPr="004C023D">
        <w:rPr>
          <w:rFonts w:ascii="Times New Roman" w:hAnsi="Times New Roman" w:cs="Times New Roman"/>
          <w:b/>
          <w:sz w:val="24"/>
          <w:szCs w:val="24"/>
          <w:lang w:val="en-US"/>
        </w:rPr>
        <w:t>]/[</w:t>
      </w:r>
      <w:r w:rsidR="001C1A77">
        <w:rPr>
          <w:rFonts w:ascii="Times New Roman" w:hAnsi="Times New Roman" w:cs="Times New Roman"/>
          <w:b/>
          <w:sz w:val="24"/>
          <w:szCs w:val="24"/>
          <w:highlight w:val="yellow"/>
          <w:lang w:val="en-US"/>
        </w:rPr>
        <w:t>03</w:t>
      </w:r>
      <w:r w:rsidR="004C023D" w:rsidRPr="004C023D">
        <w:rPr>
          <w:rFonts w:ascii="Times New Roman" w:hAnsi="Times New Roman" w:cs="Times New Roman"/>
          <w:b/>
          <w:sz w:val="24"/>
          <w:szCs w:val="24"/>
          <w:lang w:val="en-US"/>
        </w:rPr>
        <w:t xml:space="preserve">] </w:t>
      </w:r>
      <w:r w:rsidR="001C1A77">
        <w:rPr>
          <w:rFonts w:ascii="Times New Roman" w:hAnsi="Times New Roman" w:cs="Times New Roman"/>
          <w:b/>
          <w:sz w:val="24"/>
          <w:szCs w:val="24"/>
          <w:lang w:val="en-US"/>
        </w:rPr>
        <w:t>September</w:t>
      </w:r>
      <w:r w:rsidR="004C023D" w:rsidRPr="004C023D">
        <w:rPr>
          <w:rFonts w:ascii="Times New Roman" w:hAnsi="Times New Roman" w:cs="Times New Roman"/>
          <w:b/>
          <w:sz w:val="24"/>
          <w:szCs w:val="24"/>
          <w:lang w:val="en-US"/>
        </w:rPr>
        <w:t xml:space="preserve"> 202</w:t>
      </w:r>
      <w:r w:rsidR="007E6BA8">
        <w:rPr>
          <w:rFonts w:ascii="Times New Roman" w:hAnsi="Times New Roman" w:cs="Times New Roman"/>
          <w:b/>
          <w:sz w:val="24"/>
          <w:szCs w:val="24"/>
          <w:lang w:val="en-US"/>
        </w:rPr>
        <w:t>4</w:t>
      </w:r>
      <w:r w:rsidRPr="00281CB5">
        <w:rPr>
          <w:rFonts w:ascii="Times New Roman" w:hAnsi="Times New Roman" w:cs="Times New Roman"/>
          <w:b/>
          <w:sz w:val="24"/>
          <w:szCs w:val="24"/>
          <w:lang w:val="en-US"/>
        </w:rPr>
        <w:t>, described below:</w:t>
      </w:r>
    </w:p>
    <w:p w14:paraId="4D5B59F0" w14:textId="77777777" w:rsidR="00404473" w:rsidRPr="00404473" w:rsidRDefault="00404473" w:rsidP="00404473">
      <w:pPr>
        <w:pStyle w:val="ListParagraph"/>
        <w:numPr>
          <w:ilvl w:val="0"/>
          <w:numId w:val="1"/>
        </w:numPr>
        <w:spacing w:after="0" w:line="360" w:lineRule="auto"/>
        <w:contextualSpacing w:val="0"/>
        <w:jc w:val="both"/>
        <w:rPr>
          <w:rFonts w:ascii="Times New Roman" w:hAnsi="Times New Roman" w:cs="Times New Roman"/>
          <w:noProof/>
          <w:sz w:val="24"/>
          <w:szCs w:val="24"/>
          <w:lang w:val="en-US"/>
        </w:rPr>
      </w:pPr>
      <w:r w:rsidRPr="00404473">
        <w:rPr>
          <w:rFonts w:ascii="Times New Roman" w:hAnsi="Times New Roman" w:cs="Times New Roman"/>
          <w:b/>
          <w:bCs/>
          <w:sz w:val="24"/>
          <w:szCs w:val="24"/>
        </w:rPr>
        <w:t>Approval</w:t>
      </w:r>
      <w:r w:rsidRPr="00404473">
        <w:rPr>
          <w:rFonts w:ascii="Times New Roman" w:hAnsi="Times New Roman" w:cs="Times New Roman"/>
          <w:sz w:val="24"/>
          <w:szCs w:val="24"/>
        </w:rPr>
        <w:t xml:space="preserve"> of 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p>
    <w:p w14:paraId="44963A8F" w14:textId="77777777" w:rsidR="00404473" w:rsidRPr="00404473" w:rsidRDefault="00404473" w:rsidP="00404473">
      <w:pPr>
        <w:pStyle w:val="ListParagraph"/>
        <w:numPr>
          <w:ilvl w:val="0"/>
          <w:numId w:val="1"/>
        </w:numPr>
        <w:spacing w:after="0" w:line="360" w:lineRule="auto"/>
        <w:contextualSpacing w:val="0"/>
        <w:jc w:val="both"/>
        <w:rPr>
          <w:rFonts w:ascii="Times New Roman" w:hAnsi="Times New Roman" w:cs="Times New Roman"/>
          <w:noProof/>
          <w:sz w:val="24"/>
          <w:szCs w:val="24"/>
          <w:lang w:val="en-US"/>
        </w:rPr>
      </w:pPr>
      <w:r w:rsidRPr="00404473">
        <w:rPr>
          <w:rFonts w:ascii="Times New Roman" w:hAnsi="Times New Roman" w:cs="Times New Roman"/>
          <w:noProof/>
          <w:sz w:val="24"/>
          <w:szCs w:val="24"/>
        </w:rPr>
        <w:t xml:space="preserve">Subject to the approval of item 1 on the agenda, </w:t>
      </w:r>
      <w:r w:rsidRPr="00404473">
        <w:rPr>
          <w:rFonts w:ascii="Times New Roman" w:hAnsi="Times New Roman" w:cs="Times New Roman"/>
          <w:b/>
          <w:bCs/>
          <w:noProof/>
          <w:sz w:val="24"/>
          <w:szCs w:val="24"/>
        </w:rPr>
        <w:t>approval</w:t>
      </w:r>
      <w:r w:rsidRPr="00404473">
        <w:rPr>
          <w:rFonts w:ascii="Times New Roman" w:hAnsi="Times New Roman" w:cs="Times New Roman"/>
          <w:noProof/>
          <w:sz w:val="24"/>
          <w:szCs w:val="24"/>
        </w:rPr>
        <w:t xml:space="preserve"> of the update of the Articles of Incorporation by amending Article 5.1 as follows</w:t>
      </w:r>
      <w:r w:rsidRPr="00404473">
        <w:rPr>
          <w:rFonts w:ascii="Times New Roman" w:hAnsi="Times New Roman" w:cs="Times New Roman"/>
          <w:noProof/>
          <w:sz w:val="24"/>
          <w:szCs w:val="24"/>
          <w:lang w:val="en-US"/>
        </w:rPr>
        <w:t>:</w:t>
      </w:r>
    </w:p>
    <w:p w14:paraId="525148C7" w14:textId="77777777" w:rsidR="00404473" w:rsidRPr="00404473" w:rsidRDefault="00404473" w:rsidP="00404473">
      <w:pPr>
        <w:spacing w:after="0" w:line="360" w:lineRule="auto"/>
        <w:ind w:left="720"/>
        <w:jc w:val="both"/>
        <w:rPr>
          <w:rFonts w:ascii="Times New Roman" w:hAnsi="Times New Roman" w:cs="Times New Roman"/>
          <w:i/>
          <w:iCs/>
          <w:noProof/>
          <w:sz w:val="24"/>
          <w:szCs w:val="24"/>
          <w:lang w:val="en-US"/>
        </w:rPr>
      </w:pPr>
      <w:r w:rsidRPr="00404473">
        <w:rPr>
          <w:rFonts w:ascii="Times New Roman" w:hAnsi="Times New Roman" w:cs="Times New Roman"/>
          <w:i/>
          <w:iCs/>
          <w:sz w:val="24"/>
          <w:szCs w:val="24"/>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p>
    <w:p w14:paraId="1361E96A" w14:textId="77777777" w:rsidR="00404473" w:rsidRPr="00404473" w:rsidRDefault="00404473" w:rsidP="00404473">
      <w:pPr>
        <w:numPr>
          <w:ilvl w:val="0"/>
          <w:numId w:val="32"/>
        </w:numPr>
        <w:spacing w:after="0" w:line="360" w:lineRule="auto"/>
        <w:jc w:val="both"/>
        <w:rPr>
          <w:rFonts w:ascii="Times New Roman" w:eastAsia="Times New Roman" w:hAnsi="Times New Roman" w:cs="Times New Roman"/>
          <w:sz w:val="24"/>
          <w:szCs w:val="24"/>
          <w:lang w:val="en-US"/>
        </w:rPr>
      </w:pPr>
      <w:bookmarkStart w:id="1" w:name="_Ref134799928"/>
      <w:r w:rsidRPr="00404473">
        <w:rPr>
          <w:rFonts w:ascii="Times New Roman" w:eastAsia="Times New Roman" w:hAnsi="Times New Roman" w:cs="Times New Roman"/>
          <w:b/>
          <w:bCs/>
          <w:sz w:val="24"/>
          <w:szCs w:val="24"/>
          <w:lang w:val="en-US"/>
        </w:rPr>
        <w:t xml:space="preserve">Approval </w:t>
      </w:r>
      <w:r w:rsidRPr="00404473">
        <w:rPr>
          <w:rFonts w:ascii="Times New Roman" w:eastAsia="Times New Roman" w:hAnsi="Times New Roman" w:cs="Times New Roman"/>
          <w:sz w:val="24"/>
          <w:szCs w:val="24"/>
          <w:lang w:val="en-US"/>
        </w:rPr>
        <w:t>of 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or EUR, guaranteed or unguaranteed, with the possibility of early redemption at the Company's initiative.</w:t>
      </w:r>
    </w:p>
    <w:p w14:paraId="2E44494C" w14:textId="77777777" w:rsidR="00404473" w:rsidRPr="00404473" w:rsidRDefault="00404473" w:rsidP="00404473">
      <w:pPr>
        <w:spacing w:after="0" w:line="360" w:lineRule="auto"/>
        <w:ind w:left="720"/>
        <w:jc w:val="both"/>
        <w:rPr>
          <w:rFonts w:ascii="Times New Roman" w:eastAsia="Times New Roman" w:hAnsi="Times New Roman" w:cs="Times New Roman"/>
          <w:sz w:val="24"/>
          <w:szCs w:val="24"/>
          <w:lang w:val="en-US"/>
        </w:rPr>
      </w:pPr>
      <w:r w:rsidRPr="00404473">
        <w:rPr>
          <w:rFonts w:ascii="Times New Roman" w:eastAsia="Times New Roman" w:hAnsi="Times New Roman" w:cs="Times New Roman"/>
          <w:sz w:val="24"/>
          <w:szCs w:val="24"/>
          <w:lang w:val="en-US"/>
        </w:rPr>
        <w:lastRenderedPageBreak/>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0CBCAE85" w14:textId="77777777" w:rsidR="00404473" w:rsidRPr="00404473" w:rsidRDefault="00404473" w:rsidP="00404473">
      <w:pPr>
        <w:spacing w:after="0" w:line="360" w:lineRule="auto"/>
        <w:ind w:left="720"/>
        <w:jc w:val="both"/>
        <w:rPr>
          <w:rFonts w:ascii="Times New Roman" w:eastAsia="Times New Roman" w:hAnsi="Times New Roman" w:cs="Times New Roman"/>
          <w:sz w:val="24"/>
          <w:szCs w:val="24"/>
          <w:lang w:val="en-US"/>
        </w:rPr>
      </w:pPr>
      <w:r w:rsidRPr="00404473">
        <w:rPr>
          <w:rFonts w:ascii="Times New Roman" w:eastAsia="Times New Roman" w:hAnsi="Times New Roman" w:cs="Times New Roman"/>
          <w:sz w:val="24"/>
          <w:szCs w:val="24"/>
          <w:lang w:val="en-US"/>
        </w:rPr>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3D7FE9DA" w14:textId="77777777" w:rsidR="00404473" w:rsidRPr="00404473" w:rsidRDefault="00404473" w:rsidP="00404473">
      <w:pPr>
        <w:spacing w:after="0" w:line="360" w:lineRule="auto"/>
        <w:ind w:left="720"/>
        <w:jc w:val="both"/>
        <w:rPr>
          <w:rFonts w:ascii="Times New Roman" w:eastAsia="Times New Roman" w:hAnsi="Times New Roman" w:cs="Times New Roman"/>
          <w:sz w:val="24"/>
          <w:szCs w:val="24"/>
        </w:rPr>
      </w:pPr>
      <w:r w:rsidRPr="00404473">
        <w:rPr>
          <w:rFonts w:ascii="Times New Roman" w:eastAsia="Times New Roman" w:hAnsi="Times New Roman" w:cs="Times New Roman"/>
          <w:sz w:val="24"/>
          <w:szCs w:val="24"/>
          <w:lang w:val="en-US"/>
        </w:rPr>
        <w:t>The bonds issued under this approval will be admitted to trading on one of the markets managed by the Bucharest Stock Exchange.</w:t>
      </w:r>
    </w:p>
    <w:p w14:paraId="6F3B193F" w14:textId="77777777" w:rsidR="00404473" w:rsidRPr="00404473" w:rsidRDefault="00404473" w:rsidP="00404473">
      <w:pPr>
        <w:numPr>
          <w:ilvl w:val="0"/>
          <w:numId w:val="32"/>
        </w:numPr>
        <w:tabs>
          <w:tab w:val="clear" w:pos="720"/>
        </w:tabs>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 xml:space="preserve">Subject to the approval of item 3 on the agenda, </w:t>
      </w:r>
      <w:r w:rsidRPr="00404473">
        <w:rPr>
          <w:rFonts w:ascii="Times New Roman" w:hAnsi="Times New Roman" w:cs="Times New Roman"/>
          <w:b/>
          <w:bCs/>
          <w:noProof/>
          <w:sz w:val="24"/>
          <w:szCs w:val="24"/>
          <w:lang w:val="en-US"/>
        </w:rPr>
        <w:t>authorization and empowerment</w:t>
      </w:r>
      <w:r w:rsidRPr="00404473">
        <w:rPr>
          <w:rFonts w:ascii="Times New Roman" w:hAnsi="Times New Roman" w:cs="Times New Roman"/>
          <w:noProof/>
          <w:sz w:val="24"/>
          <w:szCs w:val="24"/>
          <w:lang w:val="en-US"/>
        </w:rPr>
        <w:t xml:space="preserve"> of the Board of Directors to issue any resolutions necessary to implement the resolution in accordance with item 3 above, including, but not limited to, establishing and approving the characteristics of each round of bond issuance within the limits set by the Extraordinary General Meeting of Shareholders, such as:</w:t>
      </w:r>
    </w:p>
    <w:p w14:paraId="494489E9"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value of the issuance and the denomination currency;</w:t>
      </w:r>
    </w:p>
    <w:p w14:paraId="656B8B94"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annual interest rate or, if applicable, the method of determining it;</w:t>
      </w:r>
    </w:p>
    <w:p w14:paraId="69D6A818"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 xml:space="preserve">The price of the bonds or, if applicable, the method of determining it; </w:t>
      </w:r>
    </w:p>
    <w:p w14:paraId="6AFBA02B"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523C90B3"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method of offering the bonds;</w:t>
      </w:r>
    </w:p>
    <w:p w14:paraId="7887FF43" w14:textId="77777777" w:rsidR="00404473" w:rsidRPr="00404473" w:rsidRDefault="00404473" w:rsidP="00404473">
      <w:pPr>
        <w:pStyle w:val="ListParagraph"/>
        <w:numPr>
          <w:ilvl w:val="0"/>
          <w:numId w:val="33"/>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 xml:space="preserve">Any other terms and conditions for conducting the offer related to each bond issuance, including, but not limited to, the offer period, success threshold, subscription method, </w:t>
      </w:r>
      <w:r w:rsidRPr="00404473">
        <w:rPr>
          <w:rFonts w:ascii="Times New Roman" w:hAnsi="Times New Roman" w:cs="Times New Roman"/>
          <w:noProof/>
          <w:sz w:val="24"/>
          <w:szCs w:val="24"/>
          <w:lang w:val="en-US"/>
        </w:rPr>
        <w:lastRenderedPageBreak/>
        <w:t>minimum and maximum subscription amounts, the method of determining and identifying the target market, allocation method, and whether the offer will be conducted through the BVB-Central Depository system or outside of it.</w:t>
      </w:r>
    </w:p>
    <w:bookmarkEnd w:id="1"/>
    <w:p w14:paraId="14589E2F" w14:textId="77777777" w:rsidR="00404473" w:rsidRPr="00404473" w:rsidRDefault="00404473" w:rsidP="00404473">
      <w:pPr>
        <w:numPr>
          <w:ilvl w:val="0"/>
          <w:numId w:val="32"/>
        </w:numPr>
        <w:tabs>
          <w:tab w:val="clear" w:pos="720"/>
        </w:tabs>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 xml:space="preserve">Subject to the approval of items 3 and 4 on the agenda, </w:t>
      </w:r>
      <w:r w:rsidRPr="00404473">
        <w:rPr>
          <w:rFonts w:ascii="Times New Roman" w:hAnsi="Times New Roman" w:cs="Times New Roman"/>
          <w:b/>
          <w:bCs/>
          <w:noProof/>
          <w:sz w:val="24"/>
          <w:szCs w:val="24"/>
          <w:lang w:val="en-US"/>
        </w:rPr>
        <w:t>authorization and empowerment</w:t>
      </w:r>
      <w:r w:rsidRPr="00404473">
        <w:rPr>
          <w:rFonts w:ascii="Times New Roman" w:hAnsi="Times New Roman" w:cs="Times New Roman"/>
          <w:noProof/>
          <w:sz w:val="24"/>
          <w:szCs w:val="24"/>
          <w:lang w:val="en-US"/>
        </w:rPr>
        <w:t xml:space="preserve">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p>
    <w:p w14:paraId="26B939D5"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Preparing and signing the Prospectus / Offering Document for each bond issuance;</w:t>
      </w:r>
    </w:p>
    <w:p w14:paraId="2AEC622B"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497ED187"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213913F1"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Negotiating the contractual terms with and selecting the intermediary/ies for the issuance and sale of the Bonds;</w:t>
      </w:r>
    </w:p>
    <w:p w14:paraId="25BECD9C"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Negotiating, approving, and signing any contracts and/or arrangements regarding the Bonds and/or based on which the Bonds are issued, sold, and/or admitted to trading on one of the 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23E290F9"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Determining the total number of bonds issued and the funds raised by the Company from the issuance;</w:t>
      </w:r>
    </w:p>
    <w:p w14:paraId="45E055E2"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Preparing and maintaining the necessary records in the Bond Register for each issuance until their admission to trading, if applicable, including entering into registry services and cash distribution agreements with the Central Depository;</w:t>
      </w:r>
    </w:p>
    <w:p w14:paraId="4A4B8622" w14:textId="77777777" w:rsidR="00404473" w:rsidRPr="00404473" w:rsidRDefault="00404473" w:rsidP="00404473">
      <w:pPr>
        <w:pStyle w:val="ListParagraph"/>
        <w:numPr>
          <w:ilvl w:val="0"/>
          <w:numId w:val="34"/>
        </w:numPr>
        <w:tabs>
          <w:tab w:val="left" w:pos="1080"/>
        </w:tabs>
        <w:spacing w:after="0" w:line="360" w:lineRule="auto"/>
        <w:ind w:left="108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lastRenderedPageBreak/>
        <w:t>Performing any other actions and/or formalities required in connection with the above operations and within the limits of the resolutions of the General Meeting of Shareholders.</w:t>
      </w:r>
    </w:p>
    <w:p w14:paraId="4E65A7AF" w14:textId="77777777" w:rsidR="00404473" w:rsidRPr="00404473" w:rsidRDefault="00404473" w:rsidP="00404473">
      <w:pPr>
        <w:numPr>
          <w:ilvl w:val="0"/>
          <w:numId w:val="32"/>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b/>
          <w:bCs/>
          <w:noProof/>
          <w:sz w:val="24"/>
          <w:szCs w:val="24"/>
        </w:rPr>
        <w:t>Approval</w:t>
      </w:r>
      <w:r w:rsidRPr="00404473">
        <w:rPr>
          <w:rFonts w:ascii="Times New Roman" w:hAnsi="Times New Roman" w:cs="Times New Roman"/>
          <w:noProof/>
          <w:sz w:val="24"/>
          <w:szCs w:val="24"/>
        </w:rPr>
        <w:t xml:space="preserve"> of the extension by an additional period of 3 (three) years for the maturity of the following loans:</w:t>
      </w:r>
    </w:p>
    <w:p w14:paraId="2CDEBC8B"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77F3DD69"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rPr>
        <w:t>The loan granted by the Company, as the lender, on November 18, 2022, to Colorock13 S.R.L. (a company dissolved as a result of a merger by absorption with Sarcom S.R.L. (now EVOLOR) – the surviving entity), as the borrower, with an amount of 5,099,691 RON, maturing on November 18, 2024;</w:t>
      </w:r>
    </w:p>
    <w:p w14:paraId="6181F8D5"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rPr>
        <w:t>The loan granted by the Company, as the lender, on December 16, 2022, to Doorsrock4 S.R.L. (a company dissolved as a result of a merger by absorption with EED), as the borrower, with an amount of 350,000 EUR, maturing on December 16, 2024;</w:t>
      </w:r>
    </w:p>
    <w:p w14:paraId="5233EE9A"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2D556103"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6854FCBC" w14:textId="6499A425"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The loans acquired by the Company, as the assignee, following the conclusion of the Assignment Agreement dated June 30, 2023, with Roca Investments, from ELP, as the borrower, specifically the following:</w:t>
      </w:r>
    </w:p>
    <w:p w14:paraId="1F709F07" w14:textId="77777777" w:rsidR="00404473" w:rsidRPr="00404473" w:rsidRDefault="00404473" w:rsidP="00404473">
      <w:pPr>
        <w:pStyle w:val="ListParagraph"/>
        <w:numPr>
          <w:ilvl w:val="0"/>
          <w:numId w:val="36"/>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Loan Agreement No. 71/08.01.2019, with an amount of 600,000 EUR, maturing on December 31, 2024;</w:t>
      </w:r>
    </w:p>
    <w:p w14:paraId="3E918425" w14:textId="77777777" w:rsidR="00404473" w:rsidRPr="00404473" w:rsidRDefault="00404473" w:rsidP="00404473">
      <w:pPr>
        <w:pStyle w:val="ListParagraph"/>
        <w:numPr>
          <w:ilvl w:val="0"/>
          <w:numId w:val="36"/>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lastRenderedPageBreak/>
        <w:t>Loan Agreement dated September 17, 2019, with an amount of 256,203 EUR, maturing on December 31, 2024;</w:t>
      </w:r>
    </w:p>
    <w:p w14:paraId="6F87468C" w14:textId="77777777" w:rsidR="00404473" w:rsidRPr="00404473" w:rsidRDefault="00404473" w:rsidP="00404473">
      <w:pPr>
        <w:pStyle w:val="ListParagraph"/>
        <w:numPr>
          <w:ilvl w:val="0"/>
          <w:numId w:val="36"/>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Loan Agreement No. 4/29.12.2020, with an amount of 200,000 EUR, maturing on December 31, 2024;</w:t>
      </w:r>
    </w:p>
    <w:p w14:paraId="33AA5129" w14:textId="77777777" w:rsidR="00404473" w:rsidRPr="00404473" w:rsidRDefault="00404473" w:rsidP="00404473">
      <w:pPr>
        <w:pStyle w:val="ListParagraph"/>
        <w:numPr>
          <w:ilvl w:val="0"/>
          <w:numId w:val="36"/>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Debt Assignment Agreement dated December 21, 2021, with an amount of 678,440 RON, maturing on December 31, 2024;</w:t>
      </w:r>
    </w:p>
    <w:p w14:paraId="27F865BE" w14:textId="77777777" w:rsidR="00404473" w:rsidRPr="00404473" w:rsidRDefault="00404473" w:rsidP="00404473">
      <w:pPr>
        <w:pStyle w:val="ListParagraph"/>
        <w:numPr>
          <w:ilvl w:val="0"/>
          <w:numId w:val="36"/>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noProof/>
          <w:sz w:val="24"/>
          <w:szCs w:val="24"/>
          <w:lang w:val="en-US"/>
        </w:rPr>
        <w:t>Debt Assignment Agreement dated February 1, 2023, with an amount of 1,356,880 RON, maturing on December 31, 2024.</w:t>
      </w:r>
    </w:p>
    <w:p w14:paraId="7F63E750" w14:textId="77777777" w:rsidR="00404473" w:rsidRPr="00404473" w:rsidRDefault="00404473" w:rsidP="00404473">
      <w:pPr>
        <w:pStyle w:val="ListParagraph"/>
        <w:numPr>
          <w:ilvl w:val="0"/>
          <w:numId w:val="35"/>
        </w:numPr>
        <w:spacing w:after="0" w:line="360" w:lineRule="auto"/>
        <w:ind w:left="720"/>
        <w:jc w:val="both"/>
        <w:rPr>
          <w:rFonts w:ascii="Times New Roman" w:hAnsi="Times New Roman" w:cs="Times New Roman"/>
          <w:noProof/>
          <w:sz w:val="24"/>
          <w:szCs w:val="24"/>
          <w:lang w:val="en-US"/>
        </w:rPr>
      </w:pPr>
      <w:r w:rsidRPr="00404473">
        <w:rPr>
          <w:rFonts w:ascii="Times New Roman" w:hAnsi="Times New Roman" w:cs="Times New Roman"/>
          <w:noProof/>
          <w:sz w:val="24"/>
          <w:szCs w:val="24"/>
        </w:rPr>
        <w:t>The loan granted by Roca Investments to the Company on August 30, 2023, with an amount of 1,200,000 EUR, maturing on August 30, 2024.</w:t>
      </w:r>
    </w:p>
    <w:p w14:paraId="7040DD20" w14:textId="77777777" w:rsidR="00404473" w:rsidRPr="00404473" w:rsidRDefault="00404473" w:rsidP="00404473">
      <w:pPr>
        <w:numPr>
          <w:ilvl w:val="0"/>
          <w:numId w:val="32"/>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b/>
          <w:bCs/>
          <w:noProof/>
          <w:sz w:val="24"/>
          <w:szCs w:val="24"/>
        </w:rPr>
        <w:t xml:space="preserve">Approval </w:t>
      </w:r>
      <w:r w:rsidRPr="00404473">
        <w:rPr>
          <w:rFonts w:ascii="Times New Roman" w:hAnsi="Times New Roman" w:cs="Times New Roman"/>
          <w:noProof/>
          <w:sz w:val="24"/>
          <w:szCs w:val="24"/>
        </w:rPr>
        <w:t>of the registration date (proposed: December 3, 2024) and the ex-date (proposed: December 2, 2024) for the above operations.</w:t>
      </w:r>
    </w:p>
    <w:p w14:paraId="1EBD7B73" w14:textId="04A26945" w:rsidR="00404473" w:rsidRPr="00404473" w:rsidRDefault="00404473" w:rsidP="00404473">
      <w:pPr>
        <w:numPr>
          <w:ilvl w:val="0"/>
          <w:numId w:val="32"/>
        </w:numPr>
        <w:spacing w:after="0" w:line="360" w:lineRule="auto"/>
        <w:jc w:val="both"/>
        <w:rPr>
          <w:rFonts w:ascii="Times New Roman" w:hAnsi="Times New Roman" w:cs="Times New Roman"/>
          <w:noProof/>
          <w:sz w:val="24"/>
          <w:szCs w:val="24"/>
          <w:lang w:val="en-US"/>
        </w:rPr>
      </w:pPr>
      <w:r w:rsidRPr="00404473">
        <w:rPr>
          <w:rFonts w:ascii="Times New Roman" w:hAnsi="Times New Roman" w:cs="Times New Roman"/>
          <w:b/>
          <w:bCs/>
          <w:noProof/>
          <w:sz w:val="24"/>
          <w:szCs w:val="24"/>
          <w:lang w:val="en-US"/>
        </w:rPr>
        <w:t>Empowerment</w:t>
      </w:r>
      <w:r w:rsidRPr="00404473">
        <w:rPr>
          <w:rFonts w:ascii="Times New Roman" w:hAnsi="Times New Roman" w:cs="Times New Roman"/>
          <w:noProof/>
          <w:sz w:val="24"/>
          <w:szCs w:val="24"/>
          <w:lang w:val="en-US"/>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3B39F81" w14:textId="26454A90" w:rsidR="00D16E17" w:rsidRPr="00D16E17" w:rsidRDefault="00215F09" w:rsidP="00D16E17">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007C4F76"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007C4F76"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007C4F76"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xml:space="preserve">] </w:t>
      </w:r>
      <w:r w:rsidR="00AC3264" w:rsidRPr="00AC3264">
        <w:rPr>
          <w:rFonts w:ascii="Times New Roman" w:hAnsi="Times New Roman" w:cs="Times New Roman"/>
          <w:sz w:val="24"/>
          <w:szCs w:val="24"/>
          <w:lang w:val="en-US"/>
        </w:rPr>
        <w:t>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r w:rsidR="00740CFC">
        <w:rPr>
          <w:rFonts w:ascii="Times New Roman" w:hAnsi="Times New Roman" w:cs="Times New Roman"/>
          <w:sz w:val="24"/>
          <w:szCs w:val="24"/>
          <w:lang w:val="en-US"/>
        </w:rPr>
        <w:t xml:space="preserve">. </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5F22C505" w14:textId="50615479" w:rsidR="0095308F" w:rsidRPr="0095308F" w:rsidRDefault="001A0094" w:rsidP="0095308F">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95308F" w:rsidRPr="0095308F">
        <w:rPr>
          <w:rFonts w:ascii="Times New Roman" w:hAnsi="Times New Roman" w:cs="Times New Roman"/>
          <w:sz w:val="24"/>
          <w:szCs w:val="24"/>
          <w:lang w:val="en-US"/>
        </w:rPr>
        <w:t>the update of the Articles of Incorporation by amending Article 5.1 as follows:</w:t>
      </w:r>
    </w:p>
    <w:p w14:paraId="0B35AE56" w14:textId="53ED4448" w:rsidR="007A09CD" w:rsidRDefault="0095308F" w:rsidP="0095308F">
      <w:pPr>
        <w:spacing w:after="0" w:line="360" w:lineRule="auto"/>
        <w:jc w:val="both"/>
        <w:rPr>
          <w:rFonts w:ascii="Times New Roman" w:hAnsi="Times New Roman" w:cs="Times New Roman"/>
          <w:sz w:val="24"/>
          <w:szCs w:val="24"/>
          <w:lang w:val="en-US"/>
        </w:rPr>
      </w:pPr>
      <w:r w:rsidRPr="0095308F">
        <w:rPr>
          <w:rFonts w:ascii="Times New Roman" w:hAnsi="Times New Roman" w:cs="Times New Roman"/>
          <w:sz w:val="24"/>
          <w:szCs w:val="24"/>
          <w:lang w:val="en-US"/>
        </w:rPr>
        <w:t>“</w:t>
      </w:r>
      <w:r w:rsidRPr="0095308F">
        <w:rPr>
          <w:rFonts w:ascii="Times New Roman" w:hAnsi="Times New Roman" w:cs="Times New Roman"/>
          <w:i/>
          <w:iCs/>
          <w:sz w:val="24"/>
          <w:szCs w:val="24"/>
          <w:lang w:val="en-US"/>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r w:rsidRPr="0095308F">
        <w:rPr>
          <w:rFonts w:ascii="Times New Roman" w:hAnsi="Times New Roman" w:cs="Times New Roman"/>
          <w:sz w:val="24"/>
          <w:szCs w:val="24"/>
          <w:lang w:val="en-US"/>
        </w:rPr>
        <w:t>.”</w:t>
      </w:r>
      <w:r w:rsidR="007A09CD">
        <w:rPr>
          <w:rFonts w:ascii="Times New Roman" w:hAnsi="Times New Roman" w:cs="Times New Roman"/>
          <w:sz w:val="24"/>
          <w:szCs w:val="24"/>
          <w:lang w:val="en-US"/>
        </w:rPr>
        <w:t xml:space="preserve">. </w:t>
      </w:r>
    </w:p>
    <w:p w14:paraId="03298629" w14:textId="53482FF7" w:rsidR="0059527D" w:rsidRDefault="0059527D" w:rsidP="0059527D">
      <w:pPr>
        <w:spacing w:after="0"/>
        <w:contextualSpacing/>
        <w:jc w:val="center"/>
        <w:rPr>
          <w:rFonts w:ascii="Times New Roman" w:hAnsi="Times New Roman" w:cs="Times New Roman"/>
          <w:b/>
          <w:bCs/>
          <w:sz w:val="24"/>
          <w:szCs w:val="24"/>
          <w:u w:val="single"/>
          <w:lang w:val="en-US"/>
        </w:rPr>
      </w:pPr>
    </w:p>
    <w:p w14:paraId="21909823" w14:textId="07929F12"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292C24"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1D8F281D"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8029B82"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147BD4"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7DF574C"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E24CBF0"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4B07B0C"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659350A9" w14:textId="190EAF07" w:rsidR="00A33B3E" w:rsidRPr="00A33B3E" w:rsidRDefault="0095308F" w:rsidP="00A33B3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A33B3E" w:rsidRPr="00A33B3E">
        <w:rPr>
          <w:rFonts w:ascii="Times New Roman" w:hAnsi="Times New Roman" w:cs="Times New Roman"/>
          <w:sz w:val="24"/>
          <w:szCs w:val="24"/>
          <w:lang w:val="en-US"/>
        </w:rPr>
        <w:t xml:space="preserve">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w:t>
      </w:r>
      <w:r w:rsidR="00A33B3E" w:rsidRPr="00A33B3E">
        <w:rPr>
          <w:rFonts w:ascii="Times New Roman" w:hAnsi="Times New Roman" w:cs="Times New Roman"/>
          <w:sz w:val="24"/>
          <w:szCs w:val="24"/>
          <w:lang w:val="en-US"/>
        </w:rPr>
        <w:lastRenderedPageBreak/>
        <w:t>or EUR, guaranteed or unguaranteed, with the possibility of early redemption at the Company's initiative.</w:t>
      </w:r>
    </w:p>
    <w:p w14:paraId="5F8A4985" w14:textId="77777777" w:rsidR="00A33B3E" w:rsidRPr="00A33B3E" w:rsidRDefault="00A33B3E" w:rsidP="00A33B3E">
      <w:pPr>
        <w:spacing w:after="0" w:line="360" w:lineRule="auto"/>
        <w:jc w:val="both"/>
        <w:rPr>
          <w:rFonts w:ascii="Times New Roman" w:hAnsi="Times New Roman" w:cs="Times New Roman"/>
          <w:sz w:val="24"/>
          <w:szCs w:val="24"/>
          <w:lang w:val="en-US"/>
        </w:rPr>
      </w:pPr>
      <w:r w:rsidRPr="00A33B3E">
        <w:rPr>
          <w:rFonts w:ascii="Times New Roman" w:hAnsi="Times New Roman" w:cs="Times New Roman"/>
          <w:sz w:val="24"/>
          <w:szCs w:val="24"/>
          <w:lang w:val="en-US"/>
        </w:rPr>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57336342" w14:textId="77777777" w:rsidR="00A33B3E" w:rsidRPr="00A33B3E" w:rsidRDefault="00A33B3E" w:rsidP="00A33B3E">
      <w:pPr>
        <w:spacing w:after="0" w:line="360" w:lineRule="auto"/>
        <w:jc w:val="both"/>
        <w:rPr>
          <w:rFonts w:ascii="Times New Roman" w:hAnsi="Times New Roman" w:cs="Times New Roman"/>
          <w:sz w:val="24"/>
          <w:szCs w:val="24"/>
          <w:lang w:val="en-US"/>
        </w:rPr>
      </w:pPr>
      <w:r w:rsidRPr="00A33B3E">
        <w:rPr>
          <w:rFonts w:ascii="Times New Roman" w:hAnsi="Times New Roman" w:cs="Times New Roman"/>
          <w:sz w:val="24"/>
          <w:szCs w:val="24"/>
          <w:lang w:val="en-US"/>
        </w:rPr>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79FFFBFB" w14:textId="6973C30D" w:rsidR="0095308F" w:rsidRDefault="00A33B3E" w:rsidP="00A33B3E">
      <w:pPr>
        <w:spacing w:after="0" w:line="360" w:lineRule="auto"/>
        <w:jc w:val="both"/>
        <w:rPr>
          <w:rFonts w:ascii="Times New Roman" w:hAnsi="Times New Roman" w:cs="Times New Roman"/>
          <w:sz w:val="24"/>
          <w:szCs w:val="24"/>
          <w:lang w:val="en-US"/>
        </w:rPr>
      </w:pPr>
      <w:r w:rsidRPr="00A33B3E">
        <w:rPr>
          <w:rFonts w:ascii="Times New Roman" w:hAnsi="Times New Roman" w:cs="Times New Roman"/>
          <w:sz w:val="24"/>
          <w:szCs w:val="24"/>
          <w:lang w:val="en-US"/>
        </w:rPr>
        <w:t>The bonds issued under this approval will be admitted to trading on one of the markets managed by the Bucharest Stock Exchang</w:t>
      </w:r>
    </w:p>
    <w:p w14:paraId="1364EACE" w14:textId="6C72CAF6" w:rsidR="0095308F" w:rsidRDefault="0095308F" w:rsidP="0059527D">
      <w:pPr>
        <w:spacing w:after="0"/>
        <w:contextualSpacing/>
        <w:jc w:val="center"/>
        <w:rPr>
          <w:rFonts w:ascii="Times New Roman" w:hAnsi="Times New Roman" w:cs="Times New Roman"/>
          <w:b/>
          <w:bCs/>
          <w:sz w:val="24"/>
          <w:szCs w:val="24"/>
          <w:u w:val="single"/>
          <w:lang w:val="en-US"/>
        </w:rPr>
      </w:pPr>
    </w:p>
    <w:p w14:paraId="7A7F41C1" w14:textId="11999236"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A33B3E">
        <w:rPr>
          <w:rFonts w:ascii="Times New Roman" w:hAnsi="Times New Roman" w:cs="Times New Roman"/>
          <w:b/>
          <w:bCs/>
          <w:sz w:val="24"/>
          <w:szCs w:val="24"/>
          <w:u w:val="single"/>
          <w:lang w:val="en-US"/>
        </w:rPr>
        <w:t>4</w:t>
      </w:r>
    </w:p>
    <w:p w14:paraId="7F0A7D8C"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507F6E8D"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3C0F974"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D2EB600"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408F630"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6D9879F"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234C617"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63EBA41B" w14:textId="66E014F1" w:rsidR="0095308F" w:rsidRPr="0083075E" w:rsidRDefault="0095308F" w:rsidP="0083075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w:t>
      </w:r>
      <w:r w:rsidR="00A03290" w:rsidRPr="00A03290">
        <w:rPr>
          <w:rFonts w:ascii="Times New Roman" w:hAnsi="Times New Roman" w:cs="Times New Roman"/>
          <w:sz w:val="24"/>
          <w:szCs w:val="24"/>
          <w:lang w:val="en-US"/>
        </w:rPr>
        <w:t xml:space="preserve"> </w:t>
      </w:r>
      <w:r w:rsidR="00A03290">
        <w:rPr>
          <w:rFonts w:ascii="Times New Roman" w:hAnsi="Times New Roman" w:cs="Times New Roman"/>
          <w:sz w:val="24"/>
          <w:szCs w:val="24"/>
          <w:lang w:val="en-US"/>
        </w:rPr>
        <w:t xml:space="preserve">the </w:t>
      </w:r>
      <w:r w:rsidR="00A03290" w:rsidRPr="00A03290">
        <w:rPr>
          <w:rFonts w:ascii="Times New Roman" w:hAnsi="Times New Roman" w:cs="Times New Roman"/>
          <w:sz w:val="24"/>
          <w:szCs w:val="24"/>
          <w:lang w:val="en-US"/>
        </w:rPr>
        <w:t xml:space="preserve">authorization and empowerment of the Board of Directors to issue any resolutions necessary to implement the resolution in accordance with item </w:t>
      </w:r>
      <w:r w:rsidR="00A03290" w:rsidRPr="00A03290">
        <w:rPr>
          <w:rFonts w:ascii="Times New Roman" w:hAnsi="Times New Roman" w:cs="Times New Roman"/>
          <w:sz w:val="24"/>
          <w:szCs w:val="24"/>
          <w:lang w:val="en-US"/>
        </w:rPr>
        <w:lastRenderedPageBreak/>
        <w:t>3 above, including, but not limited to, establishing and approving the characteristics of each round of bond issuance within the limits set by the Extraordinary General Meeting of Shareholders, such as</w:t>
      </w:r>
      <w:r>
        <w:rPr>
          <w:rFonts w:ascii="Times New Roman" w:hAnsi="Times New Roman" w:cs="Times New Roman"/>
          <w:sz w:val="24"/>
          <w:szCs w:val="24"/>
          <w:lang w:val="en-US"/>
        </w:rPr>
        <w:t xml:space="preserve"> </w:t>
      </w:r>
    </w:p>
    <w:p w14:paraId="3FC0B58B"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The value of the issuance and the denomination currency;</w:t>
      </w:r>
    </w:p>
    <w:p w14:paraId="5F017F12"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The annual interest rate or, if applicable, the method of determining it;</w:t>
      </w:r>
    </w:p>
    <w:p w14:paraId="5774ACC1"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 xml:space="preserve">The price of the bonds or, if applicable, the method of determining it; </w:t>
      </w:r>
    </w:p>
    <w:p w14:paraId="32145270"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50AB62DC"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The method of offering the bonds;</w:t>
      </w:r>
    </w:p>
    <w:p w14:paraId="59FC7966" w14:textId="77777777" w:rsidR="0083075E" w:rsidRPr="0083075E" w:rsidRDefault="0083075E" w:rsidP="0083075E">
      <w:pPr>
        <w:pStyle w:val="ListParagraph"/>
        <w:numPr>
          <w:ilvl w:val="0"/>
          <w:numId w:val="37"/>
        </w:numPr>
        <w:spacing w:after="0" w:line="360" w:lineRule="auto"/>
        <w:jc w:val="both"/>
        <w:rPr>
          <w:rFonts w:ascii="Times New Roman" w:hAnsi="Times New Roman" w:cs="Times New Roman"/>
          <w:noProof/>
          <w:sz w:val="24"/>
          <w:szCs w:val="24"/>
          <w:lang w:val="en-US"/>
        </w:rPr>
      </w:pPr>
      <w:r w:rsidRPr="0083075E">
        <w:rPr>
          <w:rFonts w:ascii="Times New Roman" w:hAnsi="Times New Roman" w:cs="Times New Roman"/>
          <w:noProof/>
          <w:sz w:val="24"/>
          <w:szCs w:val="24"/>
          <w:lang w:val="en-US"/>
        </w:rPr>
        <w:t>Any other terms and conditions for conducting the offer related to each bond issuance, including, but not limited to, the offer period, success threshold, subscription method, minimum and maximum subscription amounts, the method of determining and identifying the target market, allocation method, and whether the offer will be conducted through the BVB-Central Depository system or outside of it.</w:t>
      </w:r>
    </w:p>
    <w:p w14:paraId="0AE12619" w14:textId="62038B1B" w:rsidR="0095308F" w:rsidRDefault="0095308F" w:rsidP="0083075E">
      <w:pPr>
        <w:spacing w:after="0"/>
        <w:contextualSpacing/>
        <w:rPr>
          <w:rFonts w:ascii="Times New Roman" w:hAnsi="Times New Roman" w:cs="Times New Roman"/>
          <w:b/>
          <w:bCs/>
          <w:sz w:val="24"/>
          <w:szCs w:val="24"/>
          <w:u w:val="single"/>
          <w:lang w:val="en-US"/>
        </w:rPr>
      </w:pPr>
    </w:p>
    <w:p w14:paraId="3A4EFEBC" w14:textId="14279058"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A259AD">
        <w:rPr>
          <w:rFonts w:ascii="Times New Roman" w:hAnsi="Times New Roman" w:cs="Times New Roman"/>
          <w:b/>
          <w:bCs/>
          <w:sz w:val="24"/>
          <w:szCs w:val="24"/>
          <w:u w:val="single"/>
          <w:lang w:val="en-US"/>
        </w:rPr>
        <w:t>5</w:t>
      </w:r>
    </w:p>
    <w:p w14:paraId="038F4B17"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2B406E3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61D060E2"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221AD7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107C51B"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2217CB8"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9BA6581"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737D9D43" w14:textId="50FEF6EA" w:rsidR="0095308F" w:rsidRPr="00382AEB" w:rsidRDefault="0095308F" w:rsidP="00382AEB">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w:t>
      </w:r>
      <w:r w:rsidRPr="008A307B">
        <w:rPr>
          <w:rFonts w:ascii="Times New Roman" w:hAnsi="Times New Roman" w:cs="Times New Roman"/>
          <w:sz w:val="24"/>
          <w:szCs w:val="24"/>
          <w:lang w:val="en-US"/>
        </w:rPr>
        <w:t xml:space="preserve"> </w:t>
      </w:r>
      <w:r w:rsidR="008A307B" w:rsidRPr="008A307B">
        <w:rPr>
          <w:rFonts w:ascii="Times New Roman" w:hAnsi="Times New Roman" w:cs="Times New Roman"/>
          <w:sz w:val="24"/>
          <w:szCs w:val="24"/>
          <w:lang w:val="en-US"/>
        </w:rPr>
        <w:t xml:space="preserve">the </w:t>
      </w:r>
      <w:r w:rsidR="008A307B" w:rsidRPr="008A307B">
        <w:rPr>
          <w:rFonts w:ascii="Times New Roman" w:hAnsi="Times New Roman" w:cs="Times New Roman"/>
          <w:sz w:val="24"/>
          <w:szCs w:val="24"/>
          <w:lang w:val="en-US"/>
        </w:rPr>
        <w:t>authorization and empowerment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r>
        <w:rPr>
          <w:rFonts w:ascii="Times New Roman" w:hAnsi="Times New Roman" w:cs="Times New Roman"/>
          <w:sz w:val="24"/>
          <w:szCs w:val="24"/>
          <w:lang w:val="en-US"/>
        </w:rPr>
        <w:t xml:space="preserve"> </w:t>
      </w:r>
    </w:p>
    <w:p w14:paraId="61BA3ADE"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Preparing and signing the Prospectus / Offering Document for each bond issuance;</w:t>
      </w:r>
    </w:p>
    <w:p w14:paraId="4071410C"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53D94080"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508C51DB"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Negotiating the contractual terms with and selecting the intermediary/ies for the issuance and sale of the Bonds;</w:t>
      </w:r>
    </w:p>
    <w:p w14:paraId="322D12DB"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Negotiating, approving, and signing any contracts and/or arrangements regarding the Bonds and/or based on which the Bonds are issued, sold, and/or admitted to trading on one of the 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06391C4D"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Determining the total number of bonds issued and the funds raised by the Company from the issuance;</w:t>
      </w:r>
    </w:p>
    <w:p w14:paraId="41D99AB1" w14:textId="77777777" w:rsidR="00382AE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lastRenderedPageBreak/>
        <w:t>Preparing and maintaining the necessary records in the Bond Register for each issuance until their admission to trading, if applicable, including entering into registry services and cash distribution agreements with the Central Depository;</w:t>
      </w:r>
    </w:p>
    <w:p w14:paraId="60535B0E" w14:textId="151E2E0E" w:rsidR="008A307B" w:rsidRPr="00382AEB" w:rsidRDefault="00382AEB" w:rsidP="00382AEB">
      <w:pPr>
        <w:pStyle w:val="ListParagraph"/>
        <w:numPr>
          <w:ilvl w:val="0"/>
          <w:numId w:val="38"/>
        </w:numPr>
        <w:tabs>
          <w:tab w:val="left" w:pos="1080"/>
        </w:tabs>
        <w:spacing w:after="0" w:line="360" w:lineRule="auto"/>
        <w:ind w:left="1080"/>
        <w:jc w:val="both"/>
        <w:rPr>
          <w:rFonts w:ascii="Times New Roman" w:hAnsi="Times New Roman" w:cs="Times New Roman"/>
          <w:noProof/>
          <w:sz w:val="24"/>
          <w:szCs w:val="24"/>
          <w:lang w:val="en-US"/>
        </w:rPr>
      </w:pPr>
      <w:r w:rsidRPr="00382AEB">
        <w:rPr>
          <w:rFonts w:ascii="Times New Roman" w:hAnsi="Times New Roman" w:cs="Times New Roman"/>
          <w:noProof/>
          <w:sz w:val="24"/>
          <w:szCs w:val="24"/>
          <w:lang w:val="en-US"/>
        </w:rPr>
        <w:t>Performing any other actions and/or formalities required in connection with the above operations and within the limits of the resolutions of the General Meeting of Shareholders.</w:t>
      </w:r>
    </w:p>
    <w:p w14:paraId="3CFC68D8" w14:textId="35071B30" w:rsidR="0095308F" w:rsidRDefault="0095308F" w:rsidP="0059527D">
      <w:pPr>
        <w:spacing w:after="0"/>
        <w:contextualSpacing/>
        <w:jc w:val="center"/>
        <w:rPr>
          <w:rFonts w:ascii="Times New Roman" w:hAnsi="Times New Roman" w:cs="Times New Roman"/>
          <w:b/>
          <w:bCs/>
          <w:sz w:val="24"/>
          <w:szCs w:val="24"/>
          <w:u w:val="single"/>
          <w:lang w:val="en-US"/>
        </w:rPr>
      </w:pPr>
    </w:p>
    <w:p w14:paraId="6D9694BA" w14:textId="6B3F7A0F"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E86BF6">
        <w:rPr>
          <w:rFonts w:ascii="Times New Roman" w:hAnsi="Times New Roman" w:cs="Times New Roman"/>
          <w:b/>
          <w:bCs/>
          <w:sz w:val="24"/>
          <w:szCs w:val="24"/>
          <w:u w:val="single"/>
          <w:lang w:val="en-US"/>
        </w:rPr>
        <w:t>6</w:t>
      </w:r>
    </w:p>
    <w:p w14:paraId="44D493E3"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2A3A5018"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A1F806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58D1D5F"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1ACA352"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7026A8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62BD08BE"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0905431C" w14:textId="321A8F68" w:rsidR="0095308F" w:rsidRDefault="0095308F" w:rsidP="0095308F">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6318D4" w:rsidRPr="006318D4">
        <w:rPr>
          <w:rFonts w:ascii="Times New Roman" w:hAnsi="Times New Roman" w:cs="Times New Roman"/>
          <w:sz w:val="24"/>
          <w:szCs w:val="24"/>
          <w:lang w:val="en-US"/>
        </w:rPr>
        <w:t>the extension by an additional period of 3 (three) years for the maturity of the following loans</w:t>
      </w:r>
      <w:r w:rsidRPr="0095308F">
        <w:rPr>
          <w:rFonts w:ascii="Times New Roman" w:hAnsi="Times New Roman" w:cs="Times New Roman"/>
          <w:sz w:val="24"/>
          <w:szCs w:val="24"/>
          <w:lang w:val="en-US"/>
        </w:rPr>
        <w:t>:</w:t>
      </w:r>
    </w:p>
    <w:p w14:paraId="7DC7A7AF"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rPr>
      </w:pPr>
      <w:r w:rsidRPr="009E692C">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6F78DDCE"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rPr>
        <w:t xml:space="preserve">The loan granted by the Company, as the lender, on November 18, 2022, to Colorock13 S.R.L. (a company dissolved as a result of a merger by absorption with Sarcom S.R.L. </w:t>
      </w:r>
      <w:r w:rsidRPr="009E692C">
        <w:rPr>
          <w:rFonts w:ascii="Times New Roman" w:hAnsi="Times New Roman" w:cs="Times New Roman"/>
          <w:noProof/>
          <w:sz w:val="24"/>
          <w:szCs w:val="24"/>
        </w:rPr>
        <w:lastRenderedPageBreak/>
        <w:t>(now EVOLOR) – the surviving entity), as the borrower, with an amount of 5,099,691 RON, maturing on November 18, 2024;</w:t>
      </w:r>
    </w:p>
    <w:p w14:paraId="0AE22425"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rPr>
        <w:t>The loan granted by the Company, as the lender, on December 16, 2022, to Doorsrock4 S.R.L. (a company dissolved as a result of a merger by absorption with EED), as the borrower, with an amount of 350,000 EUR, maturing on December 16, 2024;</w:t>
      </w:r>
    </w:p>
    <w:p w14:paraId="2091601B"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0420BC49"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76E3F324" w14:textId="77777777" w:rsidR="009E692C"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The loans acquired by the Company, as the assignee, following the conclusion of the Assignment Agreement dated June 30, 2023, with Roca Investments, from ELP, as the borrower, specifically the following:</w:t>
      </w:r>
    </w:p>
    <w:p w14:paraId="21F395E1" w14:textId="77777777" w:rsidR="009E692C" w:rsidRPr="009E692C" w:rsidRDefault="009E692C" w:rsidP="009E692C">
      <w:pPr>
        <w:pStyle w:val="ListParagraph"/>
        <w:spacing w:after="0" w:line="360" w:lineRule="auto"/>
        <w:jc w:val="both"/>
        <w:rPr>
          <w:rFonts w:ascii="Times New Roman" w:hAnsi="Times New Roman" w:cs="Times New Roman"/>
          <w:noProof/>
          <w:sz w:val="24"/>
          <w:szCs w:val="24"/>
          <w:lang w:val="en-US"/>
        </w:rPr>
      </w:pPr>
    </w:p>
    <w:p w14:paraId="18C99E80" w14:textId="77777777" w:rsidR="009E692C" w:rsidRPr="009E692C" w:rsidRDefault="009E692C" w:rsidP="009E692C">
      <w:pPr>
        <w:pStyle w:val="ListParagraph"/>
        <w:numPr>
          <w:ilvl w:val="0"/>
          <w:numId w:val="36"/>
        </w:numPr>
        <w:spacing w:after="0" w:line="360" w:lineRule="auto"/>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Loan Agreement No. 71/08.01.2019, with an amount of 600,000 EUR, maturing on December 31, 2024;</w:t>
      </w:r>
    </w:p>
    <w:p w14:paraId="09D24C1A" w14:textId="77777777" w:rsidR="009E692C" w:rsidRPr="009E692C" w:rsidRDefault="009E692C" w:rsidP="009E692C">
      <w:pPr>
        <w:pStyle w:val="ListParagraph"/>
        <w:numPr>
          <w:ilvl w:val="0"/>
          <w:numId w:val="36"/>
        </w:numPr>
        <w:spacing w:after="0" w:line="360" w:lineRule="auto"/>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Loan Agreement dated September 17, 2019, with an amount of 256,203 EUR, maturing on December 31, 2024;</w:t>
      </w:r>
    </w:p>
    <w:p w14:paraId="63BE2C61" w14:textId="77777777" w:rsidR="009E692C" w:rsidRPr="009E692C" w:rsidRDefault="009E692C" w:rsidP="009E692C">
      <w:pPr>
        <w:pStyle w:val="ListParagraph"/>
        <w:numPr>
          <w:ilvl w:val="0"/>
          <w:numId w:val="36"/>
        </w:numPr>
        <w:spacing w:after="0" w:line="360" w:lineRule="auto"/>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Loan Agreement No. 4/29.12.2020, with an amount of 200,000 EUR, maturing on December 31, 2024;</w:t>
      </w:r>
    </w:p>
    <w:p w14:paraId="11B96227" w14:textId="77777777" w:rsidR="009E692C" w:rsidRPr="009E692C" w:rsidRDefault="009E692C" w:rsidP="009E692C">
      <w:pPr>
        <w:pStyle w:val="ListParagraph"/>
        <w:numPr>
          <w:ilvl w:val="0"/>
          <w:numId w:val="36"/>
        </w:numPr>
        <w:spacing w:after="0" w:line="360" w:lineRule="auto"/>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Debt Assignment Agreement dated December 21, 2021, with an amount of 678,440 RON, maturing on December 31, 2024;</w:t>
      </w:r>
    </w:p>
    <w:p w14:paraId="0FF72EA3" w14:textId="1DE6FB96" w:rsidR="009E692C" w:rsidRPr="009E692C" w:rsidRDefault="009E692C" w:rsidP="009E692C">
      <w:pPr>
        <w:pStyle w:val="ListParagraph"/>
        <w:numPr>
          <w:ilvl w:val="0"/>
          <w:numId w:val="36"/>
        </w:numPr>
        <w:spacing w:after="0" w:line="360" w:lineRule="auto"/>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Debt Assignment Agreement dated February 1, 2023, with an amount of 1,356,880 RON, maturing on December 31, 2024.</w:t>
      </w:r>
    </w:p>
    <w:p w14:paraId="414E5CF8" w14:textId="77777777" w:rsidR="009E692C" w:rsidRPr="009E692C" w:rsidRDefault="009E692C" w:rsidP="009E692C">
      <w:pPr>
        <w:pStyle w:val="ListParagraph"/>
        <w:spacing w:after="0" w:line="360" w:lineRule="auto"/>
        <w:ind w:left="1440"/>
        <w:jc w:val="both"/>
        <w:rPr>
          <w:rFonts w:ascii="Times New Roman" w:hAnsi="Times New Roman" w:cs="Times New Roman"/>
          <w:noProof/>
          <w:sz w:val="24"/>
          <w:szCs w:val="24"/>
          <w:lang w:val="en-US"/>
        </w:rPr>
      </w:pPr>
    </w:p>
    <w:p w14:paraId="3FFC69E3" w14:textId="18C4ED19" w:rsidR="006318D4" w:rsidRPr="009E692C" w:rsidRDefault="009E692C" w:rsidP="009E692C">
      <w:pPr>
        <w:pStyle w:val="ListParagraph"/>
        <w:numPr>
          <w:ilvl w:val="0"/>
          <w:numId w:val="39"/>
        </w:numPr>
        <w:spacing w:after="0" w:line="360" w:lineRule="auto"/>
        <w:ind w:left="720"/>
        <w:jc w:val="both"/>
        <w:rPr>
          <w:rFonts w:ascii="Times New Roman" w:hAnsi="Times New Roman" w:cs="Times New Roman"/>
          <w:noProof/>
          <w:sz w:val="24"/>
          <w:szCs w:val="24"/>
          <w:lang w:val="en-US"/>
        </w:rPr>
      </w:pPr>
      <w:r w:rsidRPr="009E692C">
        <w:rPr>
          <w:rFonts w:ascii="Times New Roman" w:hAnsi="Times New Roman" w:cs="Times New Roman"/>
          <w:noProof/>
          <w:sz w:val="24"/>
          <w:szCs w:val="24"/>
          <w:lang w:val="en-US"/>
        </w:rPr>
        <w:t>The loan granted by Roca Investments to the Company on August 30, 2023, with an amount of 1,200,000 EUR, maturing on August 30, 2024.</w:t>
      </w:r>
    </w:p>
    <w:p w14:paraId="6CAAC00D" w14:textId="65896D5D" w:rsidR="0095308F" w:rsidRDefault="0095308F" w:rsidP="0059527D">
      <w:pPr>
        <w:spacing w:after="0"/>
        <w:contextualSpacing/>
        <w:jc w:val="center"/>
        <w:rPr>
          <w:rFonts w:ascii="Times New Roman" w:hAnsi="Times New Roman" w:cs="Times New Roman"/>
          <w:b/>
          <w:bCs/>
          <w:sz w:val="24"/>
          <w:szCs w:val="24"/>
          <w:u w:val="single"/>
          <w:lang w:val="en-US"/>
        </w:rPr>
      </w:pPr>
    </w:p>
    <w:p w14:paraId="7384D2B6" w14:textId="696AA0F1"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B96F19">
        <w:rPr>
          <w:rFonts w:ascii="Times New Roman" w:hAnsi="Times New Roman" w:cs="Times New Roman"/>
          <w:b/>
          <w:bCs/>
          <w:sz w:val="24"/>
          <w:szCs w:val="24"/>
          <w:u w:val="single"/>
          <w:lang w:val="en-US"/>
        </w:rPr>
        <w:t>7</w:t>
      </w:r>
    </w:p>
    <w:p w14:paraId="49947F4F"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60E4E8D1"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8C4821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BEFF2D"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B5026E1"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CF07528"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FCB5D44"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77C5DC75" w14:textId="5A7E283B" w:rsidR="0095308F" w:rsidRPr="0095308F" w:rsidRDefault="0095308F" w:rsidP="0095308F">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5C4B5A" w:rsidRPr="005C4B5A">
        <w:rPr>
          <w:rFonts w:ascii="Times New Roman" w:hAnsi="Times New Roman" w:cs="Times New Roman"/>
          <w:sz w:val="24"/>
          <w:szCs w:val="24"/>
          <w:lang w:val="en-US"/>
        </w:rPr>
        <w:t>the registration date (proposed: December 3, 2024) and the ex-date (proposed: December 2, 2024) for the above operations</w:t>
      </w:r>
      <w:r w:rsidR="005C4B5A">
        <w:rPr>
          <w:rFonts w:ascii="Times New Roman" w:hAnsi="Times New Roman" w:cs="Times New Roman"/>
          <w:sz w:val="24"/>
          <w:szCs w:val="24"/>
          <w:lang w:val="en-US"/>
        </w:rPr>
        <w:t>.</w:t>
      </w:r>
    </w:p>
    <w:p w14:paraId="64358038" w14:textId="3BC57D13" w:rsidR="0095308F" w:rsidRDefault="0095308F" w:rsidP="0059527D">
      <w:pPr>
        <w:spacing w:after="0"/>
        <w:contextualSpacing/>
        <w:jc w:val="center"/>
        <w:rPr>
          <w:rFonts w:ascii="Times New Roman" w:hAnsi="Times New Roman" w:cs="Times New Roman"/>
          <w:b/>
          <w:bCs/>
          <w:sz w:val="24"/>
          <w:szCs w:val="24"/>
          <w:u w:val="single"/>
          <w:lang w:val="en-US"/>
        </w:rPr>
      </w:pPr>
    </w:p>
    <w:p w14:paraId="42E056DA" w14:textId="1101301E"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5C4B5A">
        <w:rPr>
          <w:rFonts w:ascii="Times New Roman" w:hAnsi="Times New Roman" w:cs="Times New Roman"/>
          <w:b/>
          <w:bCs/>
          <w:sz w:val="24"/>
          <w:szCs w:val="24"/>
          <w:u w:val="single"/>
          <w:lang w:val="en-US"/>
        </w:rPr>
        <w:t>8</w:t>
      </w:r>
    </w:p>
    <w:p w14:paraId="3370B4A6"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05CF1AC7"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7542E8EE"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2EEEBD9"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2DAA133"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5866F24D"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006A4679"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0BF9ABE8" w14:textId="0ED8D898" w:rsidR="0095308F" w:rsidRDefault="0095308F" w:rsidP="00491586">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Pr="0095308F">
        <w:rPr>
          <w:rFonts w:ascii="Times New Roman" w:hAnsi="Times New Roman" w:cs="Times New Roman"/>
          <w:sz w:val="24"/>
          <w:szCs w:val="24"/>
          <w:lang w:val="en-US"/>
        </w:rPr>
        <w:t xml:space="preserve">the </w:t>
      </w:r>
      <w:r w:rsidR="00491586">
        <w:rPr>
          <w:rFonts w:ascii="Times New Roman" w:hAnsi="Times New Roman" w:cs="Times New Roman"/>
          <w:sz w:val="24"/>
          <w:szCs w:val="24"/>
          <w:lang w:val="en-US"/>
        </w:rPr>
        <w:t xml:space="preserve">empowerment </w:t>
      </w:r>
      <w:r w:rsidR="00491586" w:rsidRPr="00491586">
        <w:rPr>
          <w:rFonts w:ascii="Times New Roman" w:hAnsi="Times New Roman" w:cs="Times New Roman"/>
          <w:sz w:val="24"/>
          <w:szCs w:val="24"/>
          <w:lang w:val="en-US"/>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00491586">
        <w:rPr>
          <w:rFonts w:ascii="Times New Roman" w:hAnsi="Times New Roman" w:cs="Times New Roman"/>
          <w:sz w:val="24"/>
          <w:szCs w:val="24"/>
          <w:lang w:val="en-US"/>
        </w:rPr>
        <w:t xml:space="preserve">. </w:t>
      </w:r>
    </w:p>
    <w:p w14:paraId="225C1D64" w14:textId="0444984C" w:rsidR="0095308F" w:rsidRDefault="0095308F" w:rsidP="0059527D">
      <w:pPr>
        <w:spacing w:after="0"/>
        <w:contextualSpacing/>
        <w:jc w:val="center"/>
        <w:rPr>
          <w:rFonts w:ascii="Times New Roman" w:hAnsi="Times New Roman" w:cs="Times New Roman"/>
          <w:b/>
          <w:bCs/>
          <w:sz w:val="24"/>
          <w:szCs w:val="24"/>
          <w:u w:val="single"/>
          <w:lang w:val="en-US"/>
        </w:rPr>
      </w:pPr>
    </w:p>
    <w:p w14:paraId="56934F7F" w14:textId="77777777" w:rsidR="0095308F" w:rsidRDefault="0095308F" w:rsidP="0059527D">
      <w:pPr>
        <w:spacing w:after="0"/>
        <w:contextualSpacing/>
        <w:jc w:val="center"/>
        <w:rPr>
          <w:rFonts w:ascii="Times New Roman" w:hAnsi="Times New Roman" w:cs="Times New Roman"/>
          <w:b/>
          <w:bCs/>
          <w:sz w:val="24"/>
          <w:szCs w:val="24"/>
          <w:u w:val="single"/>
          <w:lang w:val="en-US"/>
        </w:rPr>
      </w:pPr>
    </w:p>
    <w:p w14:paraId="75073A1C" w14:textId="379FA029"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491586">
        <w:rPr>
          <w:rFonts w:ascii="Times New Roman" w:hAnsi="Times New Roman" w:cs="Times New Roman"/>
          <w:b/>
          <w:bCs/>
          <w:i/>
          <w:iCs/>
          <w:sz w:val="24"/>
          <w:szCs w:val="24"/>
          <w:highlight w:val="yellow"/>
          <w:lang w:val="en-US"/>
        </w:rPr>
        <w:t>02</w:t>
      </w:r>
      <w:r w:rsidRPr="00281CB5">
        <w:rPr>
          <w:rFonts w:ascii="Times New Roman" w:hAnsi="Times New Roman" w:cs="Times New Roman"/>
          <w:b/>
          <w:bCs/>
          <w:i/>
          <w:iCs/>
          <w:sz w:val="24"/>
          <w:szCs w:val="24"/>
          <w:lang w:val="en-US"/>
        </w:rPr>
        <w:t>] / [</w:t>
      </w:r>
      <w:r w:rsidR="00491586">
        <w:rPr>
          <w:rFonts w:ascii="Times New Roman" w:hAnsi="Times New Roman" w:cs="Times New Roman"/>
          <w:b/>
          <w:bCs/>
          <w:i/>
          <w:iCs/>
          <w:sz w:val="24"/>
          <w:szCs w:val="24"/>
          <w:highlight w:val="yellow"/>
          <w:lang w:val="en-US"/>
        </w:rPr>
        <w:t>03</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491586">
        <w:rPr>
          <w:rFonts w:ascii="Times New Roman" w:hAnsi="Times New Roman" w:cs="Times New Roman"/>
          <w:b/>
          <w:bCs/>
          <w:i/>
          <w:iCs/>
          <w:sz w:val="24"/>
          <w:szCs w:val="24"/>
          <w:lang w:val="en-US"/>
        </w:rPr>
        <w:t>September</w:t>
      </w:r>
      <w:r w:rsidR="00D16E17">
        <w:rPr>
          <w:rFonts w:ascii="Times New Roman" w:hAnsi="Times New Roman" w:cs="Times New Roman"/>
          <w:b/>
          <w:bCs/>
          <w:i/>
          <w:iCs/>
          <w:sz w:val="24"/>
          <w:szCs w:val="24"/>
          <w:lang w:val="en-US"/>
        </w:rPr>
        <w:t xml:space="preserve"> 202</w:t>
      </w:r>
      <w:r w:rsidR="00223F61">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696BEB79"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491586">
        <w:rPr>
          <w:rFonts w:ascii="Times New Roman" w:hAnsi="Times New Roman" w:cs="Times New Roman"/>
          <w:sz w:val="24"/>
          <w:szCs w:val="24"/>
          <w:highlight w:val="yellow"/>
          <w:lang w:val="en-US"/>
        </w:rPr>
        <w:t>02</w:t>
      </w:r>
      <w:r w:rsidR="00D16E17" w:rsidRPr="00D16E17">
        <w:rPr>
          <w:rFonts w:ascii="Times New Roman" w:hAnsi="Times New Roman" w:cs="Times New Roman"/>
          <w:sz w:val="24"/>
          <w:szCs w:val="24"/>
          <w:lang w:val="en-US"/>
        </w:rPr>
        <w:t>] / [</w:t>
      </w:r>
      <w:r w:rsidR="00491586">
        <w:rPr>
          <w:rFonts w:ascii="Times New Roman" w:hAnsi="Times New Roman" w:cs="Times New Roman"/>
          <w:sz w:val="24"/>
          <w:szCs w:val="24"/>
          <w:highlight w:val="yellow"/>
          <w:lang w:val="en-US"/>
        </w:rPr>
        <w:t>03</w:t>
      </w:r>
      <w:r w:rsidR="00D16E17" w:rsidRPr="00D16E17">
        <w:rPr>
          <w:rFonts w:ascii="Times New Roman" w:hAnsi="Times New Roman" w:cs="Times New Roman"/>
          <w:sz w:val="24"/>
          <w:szCs w:val="24"/>
          <w:lang w:val="en-US"/>
        </w:rPr>
        <w:t xml:space="preserve">] </w:t>
      </w:r>
      <w:r w:rsidR="00491586">
        <w:rPr>
          <w:rFonts w:ascii="Times New Roman" w:hAnsi="Times New Roman" w:cs="Times New Roman"/>
          <w:sz w:val="24"/>
          <w:szCs w:val="24"/>
          <w:lang w:val="en-US"/>
        </w:rPr>
        <w:t>September</w:t>
      </w:r>
      <w:r w:rsidR="00D16E17" w:rsidRPr="00D16E17">
        <w:rPr>
          <w:rFonts w:ascii="Times New Roman" w:hAnsi="Times New Roman" w:cs="Times New Roman"/>
          <w:sz w:val="24"/>
          <w:szCs w:val="24"/>
          <w:lang w:val="en-US"/>
        </w:rPr>
        <w:t xml:space="preserve"> 202</w:t>
      </w:r>
      <w:r w:rsidR="00223F61">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D61614"/>
    <w:multiLevelType w:val="hybridMultilevel"/>
    <w:tmpl w:val="61CA0E56"/>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0A254DA1"/>
    <w:multiLevelType w:val="hybridMultilevel"/>
    <w:tmpl w:val="A126BE7A"/>
    <w:lvl w:ilvl="0" w:tplc="3E98A1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7B47"/>
    <w:multiLevelType w:val="multilevel"/>
    <w:tmpl w:val="95ECF4F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E26E8"/>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C5313"/>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581E12"/>
    <w:multiLevelType w:val="hybridMultilevel"/>
    <w:tmpl w:val="9796E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14AA3"/>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1"/>
  </w:num>
  <w:num w:numId="8">
    <w:abstractNumId w:val="19"/>
  </w:num>
  <w:num w:numId="9">
    <w:abstractNumId w:val="1"/>
  </w:num>
  <w:num w:numId="10">
    <w:abstractNumId w:val="35"/>
  </w:num>
  <w:num w:numId="11">
    <w:abstractNumId w:val="6"/>
  </w:num>
  <w:num w:numId="12">
    <w:abstractNumId w:val="5"/>
  </w:num>
  <w:num w:numId="13">
    <w:abstractNumId w:val="27"/>
  </w:num>
  <w:num w:numId="14">
    <w:abstractNumId w:val="32"/>
  </w:num>
  <w:num w:numId="15">
    <w:abstractNumId w:val="28"/>
  </w:num>
  <w:num w:numId="16">
    <w:abstractNumId w:val="14"/>
  </w:num>
  <w:num w:numId="17">
    <w:abstractNumId w:val="13"/>
  </w:num>
  <w:num w:numId="18">
    <w:abstractNumId w:val="34"/>
  </w:num>
  <w:num w:numId="19">
    <w:abstractNumId w:val="21"/>
  </w:num>
  <w:num w:numId="20">
    <w:abstractNumId w:val="12"/>
  </w:num>
  <w:num w:numId="21">
    <w:abstractNumId w:val="8"/>
  </w:num>
  <w:num w:numId="22">
    <w:abstractNumId w:val="16"/>
  </w:num>
  <w:num w:numId="23">
    <w:abstractNumId w:val="25"/>
  </w:num>
  <w:num w:numId="24">
    <w:abstractNumId w:val="30"/>
  </w:num>
  <w:num w:numId="25">
    <w:abstractNumId w:val="33"/>
  </w:num>
  <w:num w:numId="26">
    <w:abstractNumId w:val="10"/>
  </w:num>
  <w:num w:numId="27">
    <w:abstractNumId w:val="23"/>
  </w:num>
  <w:num w:numId="28">
    <w:abstractNumId w:val="29"/>
  </w:num>
  <w:num w:numId="29">
    <w:abstractNumId w:val="22"/>
  </w:num>
  <w:num w:numId="30">
    <w:abstractNumId w:val="3"/>
  </w:num>
  <w:num w:numId="31">
    <w:abstractNumId w:val="2"/>
  </w:num>
  <w:num w:numId="32">
    <w:abstractNumId w:val="4"/>
  </w:num>
  <w:num w:numId="33">
    <w:abstractNumId w:val="15"/>
  </w:num>
  <w:num w:numId="34">
    <w:abstractNumId w:val="36"/>
  </w:num>
  <w:num w:numId="35">
    <w:abstractNumId w:val="37"/>
  </w:num>
  <w:num w:numId="36">
    <w:abstractNumId w:val="20"/>
  </w:num>
  <w:num w:numId="37">
    <w:abstractNumId w:val="24"/>
  </w:num>
  <w:num w:numId="38">
    <w:abstractNumId w:val="7"/>
  </w:num>
  <w:num w:numId="3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D27CB"/>
    <w:rsid w:val="001D3D5D"/>
    <w:rsid w:val="001D4AE7"/>
    <w:rsid w:val="001E1DF1"/>
    <w:rsid w:val="001E20F7"/>
    <w:rsid w:val="001E23B5"/>
    <w:rsid w:val="001E47B8"/>
    <w:rsid w:val="001E5F3A"/>
    <w:rsid w:val="001F2825"/>
    <w:rsid w:val="001F3B91"/>
    <w:rsid w:val="002000F1"/>
    <w:rsid w:val="0020394A"/>
    <w:rsid w:val="00212448"/>
    <w:rsid w:val="00215F09"/>
    <w:rsid w:val="00217447"/>
    <w:rsid w:val="00217BB2"/>
    <w:rsid w:val="00221943"/>
    <w:rsid w:val="00221DB0"/>
    <w:rsid w:val="002230C3"/>
    <w:rsid w:val="00223102"/>
    <w:rsid w:val="00223465"/>
    <w:rsid w:val="00223F61"/>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4ED7"/>
    <w:rsid w:val="005B520B"/>
    <w:rsid w:val="005C4B5A"/>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8D4"/>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307B"/>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5D1"/>
    <w:rsid w:val="009219DD"/>
    <w:rsid w:val="00926B85"/>
    <w:rsid w:val="0092713C"/>
    <w:rsid w:val="0093527B"/>
    <w:rsid w:val="009358AA"/>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4CFD"/>
    <w:rsid w:val="009F56E6"/>
    <w:rsid w:val="009F6451"/>
    <w:rsid w:val="009F67BA"/>
    <w:rsid w:val="009F7BBE"/>
    <w:rsid w:val="009F7C50"/>
    <w:rsid w:val="00A0093E"/>
    <w:rsid w:val="00A00E88"/>
    <w:rsid w:val="00A02236"/>
    <w:rsid w:val="00A02281"/>
    <w:rsid w:val="00A03290"/>
    <w:rsid w:val="00A06345"/>
    <w:rsid w:val="00A07324"/>
    <w:rsid w:val="00A13ACE"/>
    <w:rsid w:val="00A15B05"/>
    <w:rsid w:val="00A212BE"/>
    <w:rsid w:val="00A259AD"/>
    <w:rsid w:val="00A300AD"/>
    <w:rsid w:val="00A30789"/>
    <w:rsid w:val="00A33B3E"/>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326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6F19"/>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6BF6"/>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863AE-1209-4BEE-AE6E-CBA6C6BE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0E5F9A60-E409-4F22-9B82-01747D136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5305</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212</cp:revision>
  <cp:lastPrinted>2019-03-20T15:50:00Z</cp:lastPrinted>
  <dcterms:created xsi:type="dcterms:W3CDTF">2022-04-18T09:31:00Z</dcterms:created>
  <dcterms:modified xsi:type="dcterms:W3CDTF">2024-07-30T08:56:00Z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