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C067" w14:textId="297F52E5" w:rsidR="00A00FA7" w:rsidRDefault="00A00FA7" w:rsidP="00A00FA7">
      <w:pPr>
        <w:pStyle w:val="NormalWeb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Buget De Venituri si Cheltuieli 2022</w:t>
      </w:r>
    </w:p>
    <w:p w14:paraId="149BD1E4" w14:textId="0633D6F0" w:rsidR="00A00FA7" w:rsidRPr="00A00FA7" w:rsidRDefault="00A00FA7" w:rsidP="00D90FD9">
      <w:pPr>
        <w:pStyle w:val="NormalWeb"/>
        <w:jc w:val="center"/>
        <w:rPr>
          <w:lang w:val="pl-PL"/>
        </w:rPr>
      </w:pPr>
      <w:r>
        <w:rPr>
          <w:rFonts w:ascii="Montserrat" w:hAnsi="Montserrat"/>
          <w:b/>
          <w:bCs/>
          <w:sz w:val="32"/>
          <w:szCs w:val="32"/>
          <w:lang w:val="pl-PL"/>
        </w:rPr>
        <w:t>HOLDINGROCK1</w:t>
      </w:r>
    </w:p>
    <w:p w14:paraId="46928DBD" w14:textId="7F5453D0" w:rsidR="00272D60" w:rsidRPr="008F5DDF" w:rsidRDefault="00272D60" w:rsidP="00343C13">
      <w:p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17"/>
        <w:gridCol w:w="1365"/>
      </w:tblGrid>
      <w:tr w:rsidR="00325006" w:rsidRPr="008F5DDF" w14:paraId="4804D231" w14:textId="77777777" w:rsidTr="00D90FD9">
        <w:trPr>
          <w:trHeight w:val="288"/>
          <w:jc w:val="center"/>
        </w:trPr>
        <w:tc>
          <w:tcPr>
            <w:tcW w:w="6117" w:type="dxa"/>
            <w:shd w:val="clear" w:color="auto" w:fill="EE3800"/>
            <w:noWrap/>
            <w:hideMark/>
          </w:tcPr>
          <w:p w14:paraId="7C9D9B1A" w14:textId="33A6A22E" w:rsidR="00325006" w:rsidRPr="00D90FD9" w:rsidRDefault="00325006" w:rsidP="00325006">
            <w:pPr>
              <w:rPr>
                <w:rFonts w:ascii="Nunito Sans" w:eastAsia="Times New Roman" w:hAnsi="Nunito Sans" w:cs="Calibri"/>
                <w:b/>
                <w:bCs/>
                <w:color w:val="FFFFFF" w:themeColor="background1"/>
                <w:sz w:val="21"/>
                <w:szCs w:val="21"/>
                <w:lang w:eastAsia="ro-RO"/>
              </w:rPr>
            </w:pPr>
            <w:r w:rsidRPr="00D90FD9">
              <w:rPr>
                <w:rFonts w:ascii="Nunito Sans" w:eastAsia="Times New Roman" w:hAnsi="Nunito Sans" w:cs="Calibri"/>
                <w:b/>
                <w:bCs/>
                <w:color w:val="FFFFFF" w:themeColor="background1"/>
                <w:sz w:val="21"/>
                <w:szCs w:val="21"/>
                <w:lang w:eastAsia="ro-RO"/>
              </w:rPr>
              <w:t>Contul de profit și pierdere</w:t>
            </w:r>
            <w:r w:rsidR="00A00FA7">
              <w:rPr>
                <w:rFonts w:ascii="Nunito Sans" w:eastAsia="Times New Roman" w:hAnsi="Nunito Sans" w:cs="Calibri"/>
                <w:b/>
                <w:bCs/>
                <w:color w:val="FFFFFF" w:themeColor="background1"/>
                <w:sz w:val="21"/>
                <w:szCs w:val="21"/>
                <w:lang w:eastAsia="ro-RO"/>
              </w:rPr>
              <w:t xml:space="preserve"> 2022</w:t>
            </w:r>
          </w:p>
        </w:tc>
        <w:tc>
          <w:tcPr>
            <w:tcW w:w="0" w:type="auto"/>
            <w:shd w:val="clear" w:color="auto" w:fill="EE3800"/>
            <w:noWrap/>
            <w:hideMark/>
          </w:tcPr>
          <w:p w14:paraId="45542463" w14:textId="77777777" w:rsidR="00325006" w:rsidRPr="00D90FD9" w:rsidRDefault="00325006" w:rsidP="00325006">
            <w:pPr>
              <w:rPr>
                <w:rFonts w:ascii="Nunito Sans" w:eastAsia="Times New Roman" w:hAnsi="Nunito Sans" w:cs="Calibri"/>
                <w:b/>
                <w:bCs/>
                <w:color w:val="FFFFFF" w:themeColor="background1"/>
                <w:sz w:val="21"/>
                <w:szCs w:val="21"/>
                <w:lang w:eastAsia="ro-RO"/>
              </w:rPr>
            </w:pPr>
            <w:r w:rsidRPr="00D90FD9">
              <w:rPr>
                <w:rFonts w:ascii="Nunito Sans" w:eastAsia="Times New Roman" w:hAnsi="Nunito Sans" w:cs="Calibri"/>
                <w:b/>
                <w:bCs/>
                <w:color w:val="FFFFFF" w:themeColor="background1"/>
                <w:sz w:val="21"/>
                <w:szCs w:val="21"/>
                <w:lang w:eastAsia="ro-RO"/>
              </w:rPr>
              <w:t>Suma (Ron)</w:t>
            </w:r>
          </w:p>
        </w:tc>
      </w:tr>
      <w:tr w:rsidR="00325006" w:rsidRPr="008F5DDF" w14:paraId="7B4425A0" w14:textId="77777777" w:rsidTr="00D90FD9">
        <w:trPr>
          <w:trHeight w:val="288"/>
          <w:jc w:val="center"/>
        </w:trPr>
        <w:tc>
          <w:tcPr>
            <w:tcW w:w="6117" w:type="dxa"/>
            <w:noWrap/>
            <w:hideMark/>
          </w:tcPr>
          <w:p w14:paraId="7C006EAD" w14:textId="77777777" w:rsidR="00325006" w:rsidRPr="008F5DDF" w:rsidRDefault="00325006" w:rsidP="00325006">
            <w:pP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8F5DDF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Venituri operaționale</w:t>
            </w:r>
          </w:p>
        </w:tc>
        <w:tc>
          <w:tcPr>
            <w:tcW w:w="0" w:type="auto"/>
            <w:noWrap/>
            <w:hideMark/>
          </w:tcPr>
          <w:p w14:paraId="37A2CAA0" w14:textId="3432DF65" w:rsidR="00325006" w:rsidRPr="008F5DDF" w:rsidRDefault="00A00FA7" w:rsidP="00325006">
            <w:pPr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-</w:t>
            </w:r>
          </w:p>
        </w:tc>
      </w:tr>
      <w:tr w:rsidR="00325006" w:rsidRPr="008F5DDF" w14:paraId="4843F539" w14:textId="77777777" w:rsidTr="00D90FD9">
        <w:trPr>
          <w:trHeight w:val="288"/>
          <w:jc w:val="center"/>
        </w:trPr>
        <w:tc>
          <w:tcPr>
            <w:tcW w:w="6117" w:type="dxa"/>
            <w:hideMark/>
          </w:tcPr>
          <w:p w14:paraId="00647299" w14:textId="77777777" w:rsidR="00325006" w:rsidRPr="008F5DDF" w:rsidRDefault="00325006" w:rsidP="00325006">
            <w:pPr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</w:pPr>
            <w:r w:rsidRPr="008F5DDF"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  <w:t>Cheltuieli operaționale</w:t>
            </w:r>
          </w:p>
        </w:tc>
        <w:tc>
          <w:tcPr>
            <w:tcW w:w="0" w:type="auto"/>
            <w:noWrap/>
            <w:hideMark/>
          </w:tcPr>
          <w:p w14:paraId="288D1AA5" w14:textId="07D1CFE0" w:rsidR="00325006" w:rsidRPr="008F5DDF" w:rsidRDefault="00325006" w:rsidP="00325006">
            <w:pPr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8F5DDF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6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 w:rsidRPr="008F5DDF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479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 w:rsidRPr="008F5DDF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027</w:t>
            </w:r>
          </w:p>
        </w:tc>
      </w:tr>
      <w:tr w:rsidR="00325006" w:rsidRPr="008F5DDF" w14:paraId="63CBC6B3" w14:textId="77777777" w:rsidTr="00D90FD9">
        <w:trPr>
          <w:trHeight w:val="288"/>
          <w:jc w:val="center"/>
        </w:trPr>
        <w:tc>
          <w:tcPr>
            <w:tcW w:w="6117" w:type="dxa"/>
            <w:noWrap/>
            <w:hideMark/>
          </w:tcPr>
          <w:p w14:paraId="7223664B" w14:textId="77777777" w:rsidR="00325006" w:rsidRPr="008F5DDF" w:rsidRDefault="00325006" w:rsidP="00325006">
            <w:pP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8F5DDF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Venituri financiare</w:t>
            </w:r>
          </w:p>
        </w:tc>
        <w:tc>
          <w:tcPr>
            <w:tcW w:w="0" w:type="auto"/>
            <w:noWrap/>
            <w:hideMark/>
          </w:tcPr>
          <w:p w14:paraId="53183C3D" w14:textId="52AB82FD" w:rsidR="00325006" w:rsidRPr="008F5DDF" w:rsidRDefault="008A747E" w:rsidP="00325006">
            <w:pPr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9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073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111</w:t>
            </w:r>
          </w:p>
        </w:tc>
      </w:tr>
      <w:tr w:rsidR="00325006" w:rsidRPr="008F5DDF" w14:paraId="494B9B52" w14:textId="77777777" w:rsidTr="00D90FD9">
        <w:trPr>
          <w:trHeight w:val="288"/>
          <w:jc w:val="center"/>
        </w:trPr>
        <w:tc>
          <w:tcPr>
            <w:tcW w:w="6117" w:type="dxa"/>
            <w:noWrap/>
            <w:hideMark/>
          </w:tcPr>
          <w:p w14:paraId="34553477" w14:textId="77777777" w:rsidR="00325006" w:rsidRPr="008F5DDF" w:rsidRDefault="00325006" w:rsidP="00325006">
            <w:pPr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</w:pPr>
            <w:r w:rsidRPr="008F5DDF"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  <w:t>Rezultat brut</w:t>
            </w:r>
          </w:p>
        </w:tc>
        <w:tc>
          <w:tcPr>
            <w:tcW w:w="0" w:type="auto"/>
            <w:noWrap/>
            <w:hideMark/>
          </w:tcPr>
          <w:p w14:paraId="43CA7732" w14:textId="0C7CF16C" w:rsidR="00325006" w:rsidRPr="008F5DDF" w:rsidRDefault="0034671F" w:rsidP="00325006">
            <w:pPr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2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592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002</w:t>
            </w:r>
          </w:p>
        </w:tc>
      </w:tr>
      <w:tr w:rsidR="00325006" w:rsidRPr="008F5DDF" w14:paraId="7369A920" w14:textId="77777777" w:rsidTr="00D90FD9">
        <w:trPr>
          <w:trHeight w:val="288"/>
          <w:jc w:val="center"/>
        </w:trPr>
        <w:tc>
          <w:tcPr>
            <w:tcW w:w="6117" w:type="dxa"/>
            <w:noWrap/>
            <w:hideMark/>
          </w:tcPr>
          <w:p w14:paraId="749270AD" w14:textId="77777777" w:rsidR="00325006" w:rsidRPr="008F5DDF" w:rsidRDefault="00325006" w:rsidP="00325006">
            <w:pPr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</w:pPr>
            <w:r w:rsidRPr="008F5DDF"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  <w:t>Rezultat net</w:t>
            </w:r>
          </w:p>
        </w:tc>
        <w:tc>
          <w:tcPr>
            <w:tcW w:w="0" w:type="auto"/>
            <w:noWrap/>
            <w:hideMark/>
          </w:tcPr>
          <w:p w14:paraId="30F99F86" w14:textId="1C4087E0" w:rsidR="00325006" w:rsidRPr="008F5DDF" w:rsidRDefault="0034671F" w:rsidP="00325006">
            <w:pPr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2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570</w:t>
            </w:r>
            <w:r w:rsidR="00A00FA7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.</w:t>
            </w:r>
            <w:r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788</w:t>
            </w:r>
          </w:p>
        </w:tc>
      </w:tr>
      <w:tr w:rsidR="00325006" w:rsidRPr="008F5DDF" w14:paraId="452F443B" w14:textId="77777777" w:rsidTr="00D90FD9">
        <w:trPr>
          <w:trHeight w:val="288"/>
          <w:jc w:val="center"/>
        </w:trPr>
        <w:tc>
          <w:tcPr>
            <w:tcW w:w="6117" w:type="dxa"/>
            <w:shd w:val="clear" w:color="auto" w:fill="D9D9D9" w:themeFill="background1" w:themeFillShade="D9"/>
            <w:noWrap/>
            <w:hideMark/>
          </w:tcPr>
          <w:p w14:paraId="378A1B79" w14:textId="72A94F40" w:rsidR="00325006" w:rsidRPr="00D90FD9" w:rsidRDefault="00A00FA7" w:rsidP="00325006">
            <w:pPr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</w:pPr>
            <w:r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Număr</w:t>
            </w:r>
            <w:r w:rsidR="00325006"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 xml:space="preserve"> de acțiuni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84CCBB2" w14:textId="402AE210" w:rsidR="00325006" w:rsidRPr="00D90FD9" w:rsidRDefault="00325006" w:rsidP="00325006">
            <w:pPr>
              <w:jc w:val="right"/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</w:pPr>
            <w:r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17</w:t>
            </w:r>
            <w:r w:rsidR="00A00FA7"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.</w:t>
            </w:r>
            <w:r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694</w:t>
            </w:r>
            <w:r w:rsidR="00A00FA7"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.</w:t>
            </w:r>
            <w:r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573</w:t>
            </w:r>
          </w:p>
        </w:tc>
      </w:tr>
      <w:tr w:rsidR="00325006" w:rsidRPr="008F5DDF" w14:paraId="3BA80BAC" w14:textId="77777777" w:rsidTr="00D90FD9">
        <w:trPr>
          <w:trHeight w:val="288"/>
          <w:jc w:val="center"/>
        </w:trPr>
        <w:tc>
          <w:tcPr>
            <w:tcW w:w="6117" w:type="dxa"/>
            <w:shd w:val="clear" w:color="auto" w:fill="D9D9D9" w:themeFill="background1" w:themeFillShade="D9"/>
            <w:noWrap/>
            <w:hideMark/>
          </w:tcPr>
          <w:p w14:paraId="415959BC" w14:textId="77777777" w:rsidR="00325006" w:rsidRPr="00D90FD9" w:rsidRDefault="00325006" w:rsidP="00325006">
            <w:pPr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</w:pPr>
            <w:r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Rezultatul net pe acțiuni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BD45405" w14:textId="482F58FA" w:rsidR="00325006" w:rsidRPr="00D90FD9" w:rsidRDefault="00325006" w:rsidP="00325006">
            <w:pPr>
              <w:jc w:val="right"/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</w:pPr>
            <w:r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0</w:t>
            </w:r>
            <w:r w:rsidR="00A00FA7"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,</w:t>
            </w:r>
            <w:r w:rsidR="00555F28" w:rsidRPr="00D90FD9">
              <w:rPr>
                <w:rFonts w:ascii="Nunito Sans" w:eastAsia="Times New Roman" w:hAnsi="Nunito Sans" w:cs="Calibri"/>
                <w:color w:val="767171" w:themeColor="background2" w:themeShade="80"/>
                <w:sz w:val="21"/>
                <w:szCs w:val="21"/>
                <w:lang w:eastAsia="ro-RO"/>
              </w:rPr>
              <w:t>15</w:t>
            </w:r>
          </w:p>
        </w:tc>
      </w:tr>
    </w:tbl>
    <w:p w14:paraId="63378F64" w14:textId="77777777" w:rsidR="00A00FA7" w:rsidRPr="008F5DDF" w:rsidRDefault="00A00FA7" w:rsidP="00343C13">
      <w:p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</w:p>
    <w:p w14:paraId="3D0CFB4C" w14:textId="18F4FDCC" w:rsidR="00A938A7" w:rsidRPr="008F5DDF" w:rsidRDefault="007365C2" w:rsidP="00343C13">
      <w:p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Bugetul </w:t>
      </w:r>
      <w:r w:rsidRPr="00D90FD9">
        <w:rPr>
          <w:rFonts w:ascii="Nunito Sans" w:eastAsia="Times New Roman" w:hAnsi="Nunito Sans" w:cs="Times New Roman"/>
          <w:b/>
          <w:bCs/>
          <w:sz w:val="21"/>
          <w:szCs w:val="21"/>
          <w:lang w:eastAsia="en-GB"/>
        </w:rPr>
        <w:t xml:space="preserve">individual </w:t>
      </w: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de Venituri </w:t>
      </w:r>
      <w:r w:rsidR="00A12984">
        <w:rPr>
          <w:rFonts w:ascii="Nunito Sans" w:eastAsia="Times New Roman" w:hAnsi="Nunito Sans" w:cs="Times New Roman"/>
          <w:sz w:val="21"/>
          <w:szCs w:val="21"/>
          <w:lang w:eastAsia="en-GB"/>
        </w:rPr>
        <w:t>ș</w:t>
      </w: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i Cheltuieli aferent anului 2022 este fundamentat pe următoarele obiective majore:</w:t>
      </w:r>
    </w:p>
    <w:p w14:paraId="5588A8CD" w14:textId="6117467C" w:rsidR="00A938A7" w:rsidRPr="008F5DDF" w:rsidRDefault="00625078" w:rsidP="00D90FD9">
      <w:pPr>
        <w:pStyle w:val="ListParagraph"/>
        <w:numPr>
          <w:ilvl w:val="0"/>
          <w:numId w:val="3"/>
        </w:numPr>
        <w:shd w:val="clear" w:color="auto" w:fill="FFFFFF"/>
        <w:spacing w:before="160" w:after="0" w:line="276" w:lineRule="auto"/>
        <w:ind w:left="714" w:hanging="357"/>
        <w:contextualSpacing w:val="0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V</w:t>
      </w:r>
      <w:r w:rsidR="005C2FBD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eniturilor financiare </w:t>
      </w:r>
      <w:r w:rsidR="00041538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cuprind </w:t>
      </w:r>
      <w:r w:rsidR="005C2FBD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veniturile din dividende, dar și cele din </w:t>
      </w:r>
      <w:r w:rsidR="00DD75B3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dobânzile aferente împrumuturilor acordate</w:t>
      </w:r>
      <w:r w:rsidR="00162E6A" w:rsidRPr="008F5DDF">
        <w:rPr>
          <w:rFonts w:ascii="Nunito Sans" w:eastAsia="Times New Roman" w:hAnsi="Nunito Sans" w:cs="Times New Roman"/>
          <w:sz w:val="21"/>
          <w:szCs w:val="21"/>
          <w:lang w:val="en-US" w:eastAsia="en-GB"/>
        </w:rPr>
        <w:t>;</w:t>
      </w:r>
    </w:p>
    <w:p w14:paraId="6FD759D4" w14:textId="5B754E81" w:rsidR="00162E6A" w:rsidRPr="00D90FD9" w:rsidRDefault="007D2FB4" w:rsidP="00D90FD9">
      <w:pPr>
        <w:pStyle w:val="ListParagraph"/>
        <w:numPr>
          <w:ilvl w:val="0"/>
          <w:numId w:val="3"/>
        </w:numPr>
        <w:shd w:val="clear" w:color="auto" w:fill="FFFFFF"/>
        <w:spacing w:before="160" w:after="0" w:line="276" w:lineRule="auto"/>
        <w:ind w:left="714" w:hanging="357"/>
        <w:contextualSpacing w:val="0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Valorile semnificative din </w:t>
      </w:r>
      <w:r w:rsidR="00CA549A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cheltuielile operaționale cuprind</w:t>
      </w:r>
      <w:r w:rsidR="00162E6A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:</w:t>
      </w:r>
    </w:p>
    <w:p w14:paraId="1B06D7C6" w14:textId="3E5182FB" w:rsidR="00027DBE" w:rsidRPr="00D90FD9" w:rsidRDefault="00976963" w:rsidP="00D90FD9">
      <w:pPr>
        <w:pStyle w:val="ListParagraph"/>
        <w:numPr>
          <w:ilvl w:val="0"/>
          <w:numId w:val="4"/>
        </w:num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Cheltuieli aferente tranzacțiilor</w:t>
      </w:r>
      <w:r w:rsidR="00795F94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 - Modelul de creștere nu se bazează pe exit-uri, ci pe consolidare. Pentru creșterea randamentelor, investițiile în companii noi - acolo unde situația o permite – vor fi făcute pe modelul Leveraged Buyout - LBO (ca și în cazul Sarcom), prin combinarea capitalului propriu (equity), cu creditul bancar (debt). Planul de afaceri mai sus menționat implică două/trei tranzacții noi pe an.</w:t>
      </w:r>
    </w:p>
    <w:p w14:paraId="13597DF7" w14:textId="581AA209" w:rsidR="00F70B86" w:rsidRPr="00D90FD9" w:rsidRDefault="00F70B86" w:rsidP="00D90FD9">
      <w:pPr>
        <w:pStyle w:val="ListParagraph"/>
        <w:numPr>
          <w:ilvl w:val="0"/>
          <w:numId w:val="4"/>
        </w:numPr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Costuri salariale &amp; indemnizație CA - </w:t>
      </w:r>
      <w:r w:rsidR="008271F4"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C</w:t>
      </w: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onstruim o echipă </w:t>
      </w:r>
      <w:r w:rsidR="00AF6C5B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de management </w:t>
      </w: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formată din 7 membri care vor avea implicare directă în dezvoltarea și implementarea strategiilor de creștere a companiilor din holding. Consiliul de administrație o să fie format din 5 membri.</w:t>
      </w:r>
    </w:p>
    <w:p w14:paraId="7B246C65" w14:textId="0552B82B" w:rsidR="00F87DEC" w:rsidRPr="00A00FA7" w:rsidRDefault="007B52E7" w:rsidP="00D90FD9">
      <w:pPr>
        <w:pStyle w:val="ListParagraph"/>
        <w:numPr>
          <w:ilvl w:val="0"/>
          <w:numId w:val="4"/>
        </w:numPr>
        <w:shd w:val="clear" w:color="auto" w:fill="FFFFFF"/>
        <w:spacing w:before="160" w:after="0" w:line="276" w:lineRule="auto"/>
        <w:jc w:val="both"/>
        <w:rPr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Costuri PR &amp; IR</w:t>
      </w:r>
      <w:r w:rsidR="00A00FA7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 și </w:t>
      </w:r>
      <w:r w:rsidR="00A00FA7">
        <w:rPr>
          <w:lang w:eastAsia="en-GB"/>
        </w:rPr>
        <w:t>c</w:t>
      </w:r>
      <w:r w:rsidR="00393731" w:rsidRPr="00A00FA7">
        <w:rPr>
          <w:lang w:eastAsia="en-GB"/>
        </w:rPr>
        <w:t>heltuieli de marketing - Activit</w:t>
      </w:r>
      <w:r w:rsidR="00BE4959" w:rsidRPr="00A00FA7">
        <w:rPr>
          <w:lang w:eastAsia="en-GB"/>
        </w:rPr>
        <w:t>ăț</w:t>
      </w:r>
      <w:r w:rsidR="00393731" w:rsidRPr="00A00FA7">
        <w:rPr>
          <w:lang w:eastAsia="en-GB"/>
        </w:rPr>
        <w:t>ile de marketing ale holdingului sunt str</w:t>
      </w:r>
      <w:r w:rsidR="00BE4959" w:rsidRPr="00A00FA7">
        <w:rPr>
          <w:lang w:eastAsia="en-GB"/>
        </w:rPr>
        <w:t>â</w:t>
      </w:r>
      <w:r w:rsidR="00393731" w:rsidRPr="00A00FA7">
        <w:rPr>
          <w:lang w:eastAsia="en-GB"/>
        </w:rPr>
        <w:t>ns legate de rela</w:t>
      </w:r>
      <w:r w:rsidR="00BE4959" w:rsidRPr="00A00FA7">
        <w:rPr>
          <w:lang w:eastAsia="en-GB"/>
        </w:rPr>
        <w:t>ț</w:t>
      </w:r>
      <w:r w:rsidR="00393731" w:rsidRPr="00A00FA7">
        <w:rPr>
          <w:lang w:eastAsia="en-GB"/>
        </w:rPr>
        <w:t>ionarea cu investitorii</w:t>
      </w:r>
      <w:r w:rsidR="00BE4959" w:rsidRPr="00A00FA7">
        <w:rPr>
          <w:lang w:eastAsia="en-GB"/>
        </w:rPr>
        <w:t xml:space="preserve">, </w:t>
      </w:r>
      <w:r w:rsidR="00393731" w:rsidRPr="00A00FA7">
        <w:rPr>
          <w:lang w:eastAsia="en-GB"/>
        </w:rPr>
        <w:t>dar și evenimente periodice cu echipele de management ale companiilor din holding. În cadrul acestor evenimente o să discutăm despre rezultate, viziune, strategie, piață.</w:t>
      </w:r>
    </w:p>
    <w:sectPr w:rsidR="00F87DEC" w:rsidRPr="00A00FA7" w:rsidSect="00CC6F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7BF6" w14:textId="77777777" w:rsidR="00FF72CF" w:rsidRDefault="00FF72CF" w:rsidP="00024F8D">
      <w:pPr>
        <w:spacing w:after="0" w:line="240" w:lineRule="auto"/>
      </w:pPr>
      <w:r>
        <w:separator/>
      </w:r>
    </w:p>
  </w:endnote>
  <w:endnote w:type="continuationSeparator" w:id="0">
    <w:p w14:paraId="6C3D3FBD" w14:textId="77777777" w:rsidR="00FF72CF" w:rsidRDefault="00FF72CF" w:rsidP="0002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3742" w14:textId="77777777" w:rsidR="00FF72CF" w:rsidRDefault="00FF72CF" w:rsidP="00024F8D">
      <w:pPr>
        <w:spacing w:after="0" w:line="240" w:lineRule="auto"/>
      </w:pPr>
      <w:r>
        <w:separator/>
      </w:r>
    </w:p>
  </w:footnote>
  <w:footnote w:type="continuationSeparator" w:id="0">
    <w:p w14:paraId="62B8E6CA" w14:textId="77777777" w:rsidR="00FF72CF" w:rsidRDefault="00FF72CF" w:rsidP="0002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E718" w14:textId="0310DE0A" w:rsidR="00024F8D" w:rsidRDefault="00024F8D">
    <w:pPr>
      <w:pStyle w:val="Header"/>
    </w:pPr>
    <w:r w:rsidRPr="00FC298E">
      <w:rPr>
        <w:rFonts w:ascii="Nunito Sans Light" w:hAnsi="Nunito Sans Light"/>
        <w:noProof/>
        <w:lang w:val="en-US"/>
      </w:rPr>
      <w:drawing>
        <wp:anchor distT="0" distB="0" distL="114300" distR="114300" simplePos="0" relativeHeight="251659264" behindDoc="0" locked="0" layoutInCell="1" allowOverlap="1" wp14:anchorId="3922C793" wp14:editId="56FDD53E">
          <wp:simplePos x="0" y="0"/>
          <wp:positionH relativeFrom="margin">
            <wp:posOffset>4922520</wp:posOffset>
          </wp:positionH>
          <wp:positionV relativeFrom="paragraph">
            <wp:posOffset>-411480</wp:posOffset>
          </wp:positionV>
          <wp:extent cx="1493520" cy="822960"/>
          <wp:effectExtent l="0" t="0" r="0" b="0"/>
          <wp:wrapSquare wrapText="bothSides"/>
          <wp:docPr id="1073741824" name="Picture 10737418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283D"/>
    <w:multiLevelType w:val="hybridMultilevel"/>
    <w:tmpl w:val="AB30E6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49E"/>
    <w:multiLevelType w:val="hybridMultilevel"/>
    <w:tmpl w:val="FE7801DC"/>
    <w:lvl w:ilvl="0" w:tplc="0809001B">
      <w:start w:val="1"/>
      <w:numFmt w:val="low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6A5421"/>
    <w:multiLevelType w:val="hybridMultilevel"/>
    <w:tmpl w:val="7F765C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062"/>
    <w:multiLevelType w:val="hybridMultilevel"/>
    <w:tmpl w:val="EF505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C9"/>
    <w:rsid w:val="00024F8D"/>
    <w:rsid w:val="00027DBE"/>
    <w:rsid w:val="000336BE"/>
    <w:rsid w:val="00041538"/>
    <w:rsid w:val="000A63EF"/>
    <w:rsid w:val="000D32C9"/>
    <w:rsid w:val="00162E6A"/>
    <w:rsid w:val="00272D60"/>
    <w:rsid w:val="00325006"/>
    <w:rsid w:val="00343C13"/>
    <w:rsid w:val="0034671F"/>
    <w:rsid w:val="00393731"/>
    <w:rsid w:val="003D5C02"/>
    <w:rsid w:val="003F6C2F"/>
    <w:rsid w:val="004355A1"/>
    <w:rsid w:val="004462BA"/>
    <w:rsid w:val="004667D8"/>
    <w:rsid w:val="004D11B0"/>
    <w:rsid w:val="00555F28"/>
    <w:rsid w:val="005A06AE"/>
    <w:rsid w:val="005C2FBD"/>
    <w:rsid w:val="0062243D"/>
    <w:rsid w:val="00625078"/>
    <w:rsid w:val="00697B49"/>
    <w:rsid w:val="006C5E52"/>
    <w:rsid w:val="006F30F0"/>
    <w:rsid w:val="007365C2"/>
    <w:rsid w:val="00795F94"/>
    <w:rsid w:val="007B52E7"/>
    <w:rsid w:val="007D2FB4"/>
    <w:rsid w:val="008271F4"/>
    <w:rsid w:val="008A28F8"/>
    <w:rsid w:val="008A747E"/>
    <w:rsid w:val="008F5DDF"/>
    <w:rsid w:val="00911F88"/>
    <w:rsid w:val="00976963"/>
    <w:rsid w:val="00A00FA7"/>
    <w:rsid w:val="00A12984"/>
    <w:rsid w:val="00A20100"/>
    <w:rsid w:val="00A938A7"/>
    <w:rsid w:val="00AF6C5B"/>
    <w:rsid w:val="00B2548F"/>
    <w:rsid w:val="00BE4959"/>
    <w:rsid w:val="00CA549A"/>
    <w:rsid w:val="00CC6FB0"/>
    <w:rsid w:val="00D90FD9"/>
    <w:rsid w:val="00DD75B3"/>
    <w:rsid w:val="00E55370"/>
    <w:rsid w:val="00E9769B"/>
    <w:rsid w:val="00F70B60"/>
    <w:rsid w:val="00F70B86"/>
    <w:rsid w:val="00F87DEC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5B0C"/>
  <w15:chartTrackingRefBased/>
  <w15:docId w15:val="{76381BA0-46C3-4CA5-B8D1-227C6046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2243D"/>
  </w:style>
  <w:style w:type="table" w:styleId="TableGrid">
    <w:name w:val="Table Grid"/>
    <w:basedOn w:val="TableNormal"/>
    <w:uiPriority w:val="39"/>
    <w:rsid w:val="0027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F8D"/>
  </w:style>
  <w:style w:type="paragraph" w:styleId="Footer">
    <w:name w:val="footer"/>
    <w:basedOn w:val="Normal"/>
    <w:link w:val="FooterChar"/>
    <w:uiPriority w:val="99"/>
    <w:unhideWhenUsed/>
    <w:rsid w:val="00024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F8D"/>
  </w:style>
  <w:style w:type="paragraph" w:styleId="NormalWeb">
    <w:name w:val="Normal (Web)"/>
    <w:basedOn w:val="Normal"/>
    <w:uiPriority w:val="99"/>
    <w:semiHidden/>
    <w:unhideWhenUsed/>
    <w:rsid w:val="00A0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Albu</dc:creator>
  <cp:keywords/>
  <dc:description/>
  <cp:lastModifiedBy>Roca</cp:lastModifiedBy>
  <cp:revision>2</cp:revision>
  <dcterms:created xsi:type="dcterms:W3CDTF">2022-03-25T15:07:00Z</dcterms:created>
  <dcterms:modified xsi:type="dcterms:W3CDTF">2022-03-25T15:07:00Z</dcterms:modified>
</cp:coreProperties>
</file>