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3440E5" w:rsidRDefault="00D70C37" w:rsidP="005E3835">
      <w:pPr>
        <w:widowControl w:val="0"/>
        <w:spacing w:after="0" w:line="276" w:lineRule="auto"/>
        <w:jc w:val="center"/>
        <w:rPr>
          <w:rFonts w:ascii="Times New Roman" w:eastAsia="DaxlinePro-Light" w:hAnsi="Times New Roman" w:cs="Times New Roman"/>
          <w:b/>
          <w:sz w:val="24"/>
          <w:szCs w:val="24"/>
        </w:rPr>
      </w:pPr>
      <w:r w:rsidRPr="003440E5">
        <w:rPr>
          <w:rFonts w:ascii="Times New Roman" w:eastAsia="DaxlinePro-Light" w:hAnsi="Times New Roman" w:cs="Times New Roman"/>
          <w:b/>
          <w:sz w:val="24"/>
          <w:szCs w:val="24"/>
        </w:rPr>
        <w:t>Formular de vot</w:t>
      </w:r>
    </w:p>
    <w:p w14:paraId="447A6C90" w14:textId="77777777" w:rsidR="00D70C37" w:rsidRPr="003440E5" w:rsidRDefault="00D70C37" w:rsidP="005E3835">
      <w:pPr>
        <w:widowControl w:val="0"/>
        <w:spacing w:after="0" w:line="276" w:lineRule="auto"/>
        <w:jc w:val="center"/>
        <w:rPr>
          <w:rFonts w:ascii="Times New Roman" w:eastAsia="DaxlinePro-Light" w:hAnsi="Times New Roman" w:cs="Times New Roman"/>
          <w:b/>
          <w:sz w:val="24"/>
          <w:szCs w:val="24"/>
        </w:rPr>
      </w:pPr>
      <w:r w:rsidRPr="003440E5">
        <w:rPr>
          <w:rFonts w:ascii="Times New Roman" w:eastAsia="DaxlinePro-Light" w:hAnsi="Times New Roman" w:cs="Times New Roman"/>
          <w:b/>
          <w:sz w:val="24"/>
          <w:szCs w:val="24"/>
        </w:rPr>
        <w:t>actionari persoane fizice</w:t>
      </w:r>
    </w:p>
    <w:p w14:paraId="01F29CC3" w14:textId="77777777" w:rsidR="007715C1" w:rsidRPr="003440E5" w:rsidRDefault="00D70C37"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pentru Adunarea Generala Extraordinara a Actionarilor (AGEA) </w:t>
      </w:r>
    </w:p>
    <w:p w14:paraId="27A3A595" w14:textId="7C346AD0" w:rsidR="00D70C37" w:rsidRPr="003440E5" w:rsidRDefault="00B27B00"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ROCA INDUSTRY </w:t>
      </w:r>
      <w:r w:rsidR="004D3C8A" w:rsidRPr="003440E5">
        <w:rPr>
          <w:rFonts w:ascii="Times New Roman" w:eastAsia="DaxlinePro-Light" w:hAnsi="Times New Roman" w:cs="Times New Roman"/>
          <w:sz w:val="24"/>
          <w:szCs w:val="24"/>
        </w:rPr>
        <w:t>HOLDINGROCK1</w:t>
      </w:r>
      <w:r w:rsidR="00D70C37" w:rsidRPr="003440E5">
        <w:rPr>
          <w:rFonts w:ascii="Times New Roman" w:eastAsia="DaxlinePro-Light" w:hAnsi="Times New Roman" w:cs="Times New Roman"/>
          <w:sz w:val="24"/>
          <w:szCs w:val="24"/>
        </w:rPr>
        <w:t xml:space="preserve"> S.A.</w:t>
      </w:r>
    </w:p>
    <w:p w14:paraId="4C1413BA" w14:textId="1D7C9839" w:rsidR="00D70C37" w:rsidRPr="003440E5" w:rsidRDefault="00D70C37"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din data de </w:t>
      </w:r>
      <w:r w:rsidR="00B27B00" w:rsidRPr="003440E5">
        <w:rPr>
          <w:rFonts w:ascii="Times New Roman" w:eastAsia="DaxlinePro-Light" w:hAnsi="Times New Roman" w:cs="Times New Roman"/>
          <w:sz w:val="24"/>
          <w:szCs w:val="24"/>
        </w:rPr>
        <w:t>2</w:t>
      </w:r>
      <w:r w:rsidR="00314D7C" w:rsidRPr="003440E5">
        <w:rPr>
          <w:rFonts w:ascii="Times New Roman" w:eastAsia="DaxlinePro-Light" w:hAnsi="Times New Roman" w:cs="Times New Roman"/>
          <w:sz w:val="24"/>
          <w:szCs w:val="24"/>
        </w:rPr>
        <w:t>2</w:t>
      </w:r>
      <w:r w:rsidRPr="003440E5">
        <w:rPr>
          <w:rFonts w:ascii="Times New Roman" w:eastAsia="DaxlinePro-Light" w:hAnsi="Times New Roman" w:cs="Times New Roman"/>
          <w:sz w:val="24"/>
          <w:szCs w:val="24"/>
        </w:rPr>
        <w:t>/</w:t>
      </w:r>
      <w:r w:rsidR="00B27B00" w:rsidRPr="003440E5">
        <w:rPr>
          <w:rFonts w:ascii="Times New Roman" w:eastAsia="DaxlinePro-Light" w:hAnsi="Times New Roman" w:cs="Times New Roman"/>
          <w:sz w:val="24"/>
          <w:szCs w:val="24"/>
        </w:rPr>
        <w:t>2</w:t>
      </w:r>
      <w:r w:rsidR="00314D7C" w:rsidRPr="003440E5">
        <w:rPr>
          <w:rFonts w:ascii="Times New Roman" w:eastAsia="DaxlinePro-Light" w:hAnsi="Times New Roman" w:cs="Times New Roman"/>
          <w:sz w:val="24"/>
          <w:szCs w:val="24"/>
        </w:rPr>
        <w:t>3</w:t>
      </w:r>
      <w:r w:rsidRPr="003440E5">
        <w:rPr>
          <w:rFonts w:ascii="Times New Roman" w:eastAsia="DaxlinePro-Light" w:hAnsi="Times New Roman" w:cs="Times New Roman"/>
          <w:sz w:val="24"/>
          <w:szCs w:val="24"/>
        </w:rPr>
        <w:t>.</w:t>
      </w:r>
      <w:r w:rsidR="00314D7C" w:rsidRPr="003440E5">
        <w:rPr>
          <w:rFonts w:ascii="Times New Roman" w:eastAsia="DaxlinePro-Light" w:hAnsi="Times New Roman" w:cs="Times New Roman"/>
          <w:sz w:val="24"/>
          <w:szCs w:val="24"/>
        </w:rPr>
        <w:t>06</w:t>
      </w:r>
      <w:r w:rsidRPr="003440E5">
        <w:rPr>
          <w:rFonts w:ascii="Times New Roman" w:eastAsia="DaxlinePro-Light" w:hAnsi="Times New Roman" w:cs="Times New Roman"/>
          <w:sz w:val="24"/>
          <w:szCs w:val="24"/>
        </w:rPr>
        <w:t>.202</w:t>
      </w:r>
      <w:r w:rsidR="00314D7C" w:rsidRPr="003440E5">
        <w:rPr>
          <w:rFonts w:ascii="Times New Roman" w:eastAsia="DaxlinePro-Light" w:hAnsi="Times New Roman" w:cs="Times New Roman"/>
          <w:sz w:val="24"/>
          <w:szCs w:val="24"/>
        </w:rPr>
        <w:t>3</w:t>
      </w:r>
    </w:p>
    <w:p w14:paraId="3945B52A" w14:textId="77777777" w:rsidR="00D70C37" w:rsidRPr="003440E5" w:rsidRDefault="00D70C37"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Subsemnatul,</w:t>
      </w:r>
      <w:r w:rsidR="00810A94" w:rsidRPr="003440E5">
        <w:rPr>
          <w:rFonts w:ascii="Times New Roman" w:eastAsia="DaxlinePro-Light" w:hAnsi="Times New Roman" w:cs="Times New Roman"/>
          <w:sz w:val="24"/>
          <w:szCs w:val="24"/>
        </w:rPr>
        <w:t xml:space="preserve"> </w:t>
      </w:r>
      <w:r w:rsidRPr="003440E5">
        <w:rPr>
          <w:rFonts w:ascii="Times New Roman" w:eastAsia="DaxlinePro-Light" w:hAnsi="Times New Roman" w:cs="Times New Roman"/>
          <w:sz w:val="24"/>
          <w:szCs w:val="24"/>
        </w:rPr>
        <w:t>________________________________________________________________</w:t>
      </w:r>
      <w:r w:rsidR="00810A94" w:rsidRPr="003440E5">
        <w:rPr>
          <w:rFonts w:ascii="Times New Roman" w:eastAsia="DaxlinePro-Light" w:hAnsi="Times New Roman" w:cs="Times New Roman"/>
          <w:sz w:val="24"/>
          <w:szCs w:val="24"/>
        </w:rPr>
        <w:t>__</w:t>
      </w:r>
      <w:r w:rsidRPr="003440E5">
        <w:rPr>
          <w:rFonts w:ascii="Times New Roman" w:eastAsia="DaxlinePro-Light" w:hAnsi="Times New Roman" w:cs="Times New Roman"/>
          <w:sz w:val="24"/>
          <w:szCs w:val="24"/>
        </w:rPr>
        <w:t>,</w:t>
      </w:r>
    </w:p>
    <w:p w14:paraId="42749807" w14:textId="77777777" w:rsidR="00D70C37" w:rsidRPr="003440E5" w:rsidRDefault="00D70C37" w:rsidP="005E3835">
      <w:pPr>
        <w:widowControl w:val="0"/>
        <w:spacing w:after="0" w:line="276" w:lineRule="auto"/>
        <w:jc w:val="both"/>
        <w:rPr>
          <w:rFonts w:ascii="Times New Roman" w:eastAsia="DaxlinePro-Light" w:hAnsi="Times New Roman" w:cs="Times New Roman"/>
          <w:i/>
          <w:sz w:val="24"/>
          <w:szCs w:val="24"/>
        </w:rPr>
      </w:pPr>
      <w:r w:rsidRPr="003440E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3440E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191D8D0C"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in calitate de actionar al </w:t>
      </w:r>
      <w:r w:rsidR="00B27B00" w:rsidRPr="003440E5">
        <w:rPr>
          <w:rFonts w:ascii="Times New Roman" w:eastAsia="DaxlinePro-Light" w:hAnsi="Times New Roman" w:cs="Times New Roman"/>
          <w:b/>
          <w:bCs/>
          <w:sz w:val="24"/>
          <w:szCs w:val="24"/>
        </w:rPr>
        <w:t>ROCA INDUSTRY</w:t>
      </w:r>
      <w:r w:rsidR="00B27B00" w:rsidRPr="003440E5">
        <w:rPr>
          <w:rFonts w:ascii="Times New Roman" w:eastAsia="DaxlinePro-Light" w:hAnsi="Times New Roman" w:cs="Times New Roman"/>
          <w:sz w:val="24"/>
          <w:szCs w:val="24"/>
        </w:rPr>
        <w:t xml:space="preserve"> </w:t>
      </w:r>
      <w:r w:rsidR="004D3C8A" w:rsidRPr="003440E5">
        <w:rPr>
          <w:rFonts w:ascii="Times New Roman" w:eastAsia="DaxlinePro-Light" w:hAnsi="Times New Roman" w:cs="Times New Roman"/>
          <w:b/>
          <w:bCs/>
          <w:sz w:val="24"/>
          <w:szCs w:val="24"/>
        </w:rPr>
        <w:t>HOLDINGROCK1</w:t>
      </w:r>
      <w:r w:rsidRPr="003440E5">
        <w:rPr>
          <w:rFonts w:ascii="Times New Roman" w:eastAsia="DaxlinePro-Light" w:hAnsi="Times New Roman" w:cs="Times New Roman"/>
          <w:b/>
          <w:bCs/>
          <w:sz w:val="24"/>
          <w:szCs w:val="24"/>
        </w:rPr>
        <w:t xml:space="preserve"> S.A</w:t>
      </w:r>
      <w:r w:rsidRPr="003440E5">
        <w:rPr>
          <w:rFonts w:ascii="Times New Roman" w:eastAsia="DaxlinePro-Light" w:hAnsi="Times New Roman" w:cs="Times New Roman"/>
          <w:sz w:val="24"/>
          <w:szCs w:val="24"/>
        </w:rPr>
        <w:t xml:space="preserve">., </w:t>
      </w:r>
      <w:bookmarkStart w:id="0" w:name="_Hlk98150225"/>
      <w:r w:rsidR="008825CC" w:rsidRPr="003440E5">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3440E5">
        <w:rPr>
          <w:rFonts w:ascii="Times New Roman" w:hAnsi="Times New Roman" w:cs="Times New Roman"/>
          <w:bCs/>
          <w:sz w:val="24"/>
          <w:szCs w:val="24"/>
        </w:rPr>
        <w:t>str. Gara Herăstrău nr. 4, clădirea A, etaj 3, Sector 2</w:t>
      </w:r>
      <w:bookmarkEnd w:id="1"/>
      <w:r w:rsidR="008825CC" w:rsidRPr="003440E5">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3440E5">
        <w:rPr>
          <w:rFonts w:ascii="Times New Roman" w:hAnsi="Times New Roman" w:cs="Times New Roman"/>
          <w:bCs/>
          <w:sz w:val="24"/>
          <w:szCs w:val="24"/>
        </w:rPr>
        <w:t xml:space="preserve"> </w:t>
      </w:r>
      <w:r w:rsidRPr="003440E5">
        <w:rPr>
          <w:rFonts w:ascii="Times New Roman" w:eastAsia="DaxlinePro-Light" w:hAnsi="Times New Roman" w:cs="Times New Roman"/>
          <w:sz w:val="24"/>
          <w:szCs w:val="24"/>
        </w:rPr>
        <w:t>(</w:t>
      </w:r>
      <w:r w:rsidRPr="003440E5">
        <w:rPr>
          <w:rFonts w:ascii="Times New Roman" w:eastAsia="DaxlinePro-Light" w:hAnsi="Times New Roman" w:cs="Times New Roman"/>
          <w:b/>
          <w:sz w:val="24"/>
          <w:szCs w:val="24"/>
        </w:rPr>
        <w:t>Societatea</w:t>
      </w:r>
      <w:r w:rsidRPr="003440E5">
        <w:rPr>
          <w:rFonts w:ascii="Times New Roman" w:eastAsia="DaxlinePro-Light" w:hAnsi="Times New Roman" w:cs="Times New Roman"/>
          <w:sz w:val="24"/>
          <w:szCs w:val="24"/>
        </w:rPr>
        <w:t xml:space="preserve">), </w:t>
      </w:r>
    </w:p>
    <w:p w14:paraId="0BA2F74D" w14:textId="77777777" w:rsidR="00D70C37" w:rsidRPr="003440E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3440E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3440E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3440E5">
        <w:rPr>
          <w:rFonts w:ascii="Times New Roman" w:eastAsia="DaxlinePro-Light" w:hAnsi="Times New Roman" w:cs="Times New Roman"/>
          <w:bCs/>
          <w:sz w:val="24"/>
          <w:szCs w:val="24"/>
          <w:lang w:val="ro"/>
        </w:rPr>
        <w:t>,</w:t>
      </w:r>
    </w:p>
    <w:p w14:paraId="42637FC2" w14:textId="77777777" w:rsidR="00BC54DF" w:rsidRPr="003440E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0B4043C5"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3440E5">
        <w:rPr>
          <w:rFonts w:ascii="Times New Roman" w:eastAsia="DaxlinePro-Light" w:hAnsi="Times New Roman" w:cs="Times New Roman"/>
          <w:sz w:val="24"/>
          <w:szCs w:val="24"/>
        </w:rPr>
        <w:t xml:space="preserve">avand cunostinta de ordinea de zi a sedintei </w:t>
      </w:r>
      <w:r w:rsidRPr="003440E5">
        <w:rPr>
          <w:rFonts w:ascii="Times New Roman" w:eastAsia="DaxlinePro-Light" w:hAnsi="Times New Roman" w:cs="Times New Roman"/>
          <w:b/>
          <w:bCs/>
          <w:sz w:val="24"/>
          <w:szCs w:val="24"/>
        </w:rPr>
        <w:t xml:space="preserve">AGEA Societatii din data de </w:t>
      </w:r>
      <w:r w:rsidR="00B27B00" w:rsidRPr="003440E5">
        <w:rPr>
          <w:rFonts w:ascii="Times New Roman" w:eastAsia="DaxlinePro-Light" w:hAnsi="Times New Roman" w:cs="Times New Roman"/>
          <w:b/>
          <w:bCs/>
          <w:sz w:val="24"/>
          <w:szCs w:val="24"/>
        </w:rPr>
        <w:t>2</w:t>
      </w:r>
      <w:r w:rsidR="00314D7C" w:rsidRPr="003440E5">
        <w:rPr>
          <w:rFonts w:ascii="Times New Roman" w:eastAsia="DaxlinePro-Light" w:hAnsi="Times New Roman" w:cs="Times New Roman"/>
          <w:b/>
          <w:bCs/>
          <w:sz w:val="24"/>
          <w:szCs w:val="24"/>
        </w:rPr>
        <w:t>2</w:t>
      </w:r>
      <w:r w:rsidRPr="003440E5">
        <w:rPr>
          <w:rFonts w:ascii="Times New Roman" w:eastAsia="DaxlinePro-Light" w:hAnsi="Times New Roman" w:cs="Times New Roman"/>
          <w:b/>
          <w:bCs/>
          <w:sz w:val="24"/>
          <w:szCs w:val="24"/>
          <w:lang w:val="en-US"/>
        </w:rPr>
        <w:t>.</w:t>
      </w:r>
      <w:r w:rsidR="00314D7C" w:rsidRPr="003440E5">
        <w:rPr>
          <w:rFonts w:ascii="Times New Roman" w:eastAsia="DaxlinePro-Light" w:hAnsi="Times New Roman" w:cs="Times New Roman"/>
          <w:b/>
          <w:bCs/>
          <w:sz w:val="24"/>
          <w:szCs w:val="24"/>
          <w:lang w:val="en-US"/>
        </w:rPr>
        <w:t>06</w:t>
      </w:r>
      <w:r w:rsidRPr="003440E5">
        <w:rPr>
          <w:rFonts w:ascii="Times New Roman" w:eastAsia="DaxlinePro-Light" w:hAnsi="Times New Roman" w:cs="Times New Roman"/>
          <w:b/>
          <w:bCs/>
          <w:sz w:val="24"/>
          <w:szCs w:val="24"/>
          <w:lang w:val="en-US"/>
        </w:rPr>
        <w:t>.202</w:t>
      </w:r>
      <w:r w:rsidR="00314D7C" w:rsidRPr="003440E5">
        <w:rPr>
          <w:rFonts w:ascii="Times New Roman" w:eastAsia="DaxlinePro-Light" w:hAnsi="Times New Roman" w:cs="Times New Roman"/>
          <w:b/>
          <w:bCs/>
          <w:sz w:val="24"/>
          <w:szCs w:val="24"/>
          <w:lang w:val="en-US"/>
        </w:rPr>
        <w:t>3</w:t>
      </w:r>
      <w:r w:rsidRPr="003440E5">
        <w:rPr>
          <w:rFonts w:ascii="Times New Roman" w:eastAsia="DaxlinePro-Light" w:hAnsi="Times New Roman" w:cs="Times New Roman"/>
          <w:b/>
          <w:bCs/>
          <w:sz w:val="24"/>
          <w:szCs w:val="24"/>
        </w:rPr>
        <w:t>, ora 1</w:t>
      </w:r>
      <w:r w:rsidR="002334C3" w:rsidRPr="003440E5">
        <w:rPr>
          <w:rFonts w:ascii="Times New Roman" w:eastAsia="DaxlinePro-Light" w:hAnsi="Times New Roman" w:cs="Times New Roman"/>
          <w:b/>
          <w:bCs/>
          <w:sz w:val="24"/>
          <w:szCs w:val="24"/>
        </w:rPr>
        <w:t>1</w:t>
      </w:r>
      <w:r w:rsidRPr="003440E5">
        <w:rPr>
          <w:rFonts w:ascii="Times New Roman" w:eastAsia="DaxlinePro-Light" w:hAnsi="Times New Roman" w:cs="Times New Roman"/>
          <w:b/>
          <w:bCs/>
          <w:sz w:val="24"/>
          <w:szCs w:val="24"/>
        </w:rPr>
        <w:t>:00 (ora Romaniei) – prima convocare</w:t>
      </w:r>
      <w:r w:rsidRPr="003440E5">
        <w:rPr>
          <w:rFonts w:ascii="Times New Roman" w:eastAsia="DaxlinePro-Light" w:hAnsi="Times New Roman" w:cs="Times New Roman"/>
          <w:sz w:val="24"/>
          <w:szCs w:val="24"/>
        </w:rPr>
        <w:t xml:space="preserve"> si, respectiv </w:t>
      </w:r>
      <w:r w:rsidR="00B27B00" w:rsidRPr="003440E5">
        <w:rPr>
          <w:rFonts w:ascii="Times New Roman" w:eastAsia="DaxlinePro-Light" w:hAnsi="Times New Roman" w:cs="Times New Roman"/>
          <w:b/>
          <w:bCs/>
          <w:sz w:val="24"/>
          <w:szCs w:val="24"/>
        </w:rPr>
        <w:t>2</w:t>
      </w:r>
      <w:r w:rsidR="00314D7C" w:rsidRPr="003440E5">
        <w:rPr>
          <w:rFonts w:ascii="Times New Roman" w:eastAsia="DaxlinePro-Light" w:hAnsi="Times New Roman" w:cs="Times New Roman"/>
          <w:b/>
          <w:bCs/>
          <w:sz w:val="24"/>
          <w:szCs w:val="24"/>
        </w:rPr>
        <w:t>3</w:t>
      </w:r>
      <w:r w:rsidRPr="003440E5">
        <w:rPr>
          <w:rFonts w:ascii="Times New Roman" w:eastAsia="DaxlinePro-Light" w:hAnsi="Times New Roman" w:cs="Times New Roman"/>
          <w:b/>
          <w:bCs/>
          <w:sz w:val="24"/>
          <w:szCs w:val="24"/>
        </w:rPr>
        <w:t>.</w:t>
      </w:r>
      <w:r w:rsidR="00314D7C" w:rsidRPr="003440E5">
        <w:rPr>
          <w:rFonts w:ascii="Times New Roman" w:eastAsia="DaxlinePro-Light" w:hAnsi="Times New Roman" w:cs="Times New Roman"/>
          <w:b/>
          <w:bCs/>
          <w:sz w:val="24"/>
          <w:szCs w:val="24"/>
        </w:rPr>
        <w:t>06</w:t>
      </w:r>
      <w:r w:rsidRPr="003440E5">
        <w:rPr>
          <w:rFonts w:ascii="Times New Roman" w:eastAsia="DaxlinePro-Light" w:hAnsi="Times New Roman" w:cs="Times New Roman"/>
          <w:b/>
          <w:bCs/>
          <w:sz w:val="24"/>
          <w:szCs w:val="24"/>
        </w:rPr>
        <w:t>.202</w:t>
      </w:r>
      <w:r w:rsidR="00314D7C" w:rsidRPr="003440E5">
        <w:rPr>
          <w:rFonts w:ascii="Times New Roman" w:eastAsia="DaxlinePro-Light" w:hAnsi="Times New Roman" w:cs="Times New Roman"/>
          <w:b/>
          <w:bCs/>
          <w:sz w:val="24"/>
          <w:szCs w:val="24"/>
        </w:rPr>
        <w:t>3</w:t>
      </w:r>
      <w:r w:rsidRPr="003440E5">
        <w:rPr>
          <w:rFonts w:ascii="Times New Roman" w:eastAsia="DaxlinePro-Light" w:hAnsi="Times New Roman" w:cs="Times New Roman"/>
          <w:b/>
          <w:bCs/>
          <w:sz w:val="24"/>
          <w:szCs w:val="24"/>
        </w:rPr>
        <w:t>, ora 1</w:t>
      </w:r>
      <w:r w:rsidR="002334C3" w:rsidRPr="003440E5">
        <w:rPr>
          <w:rFonts w:ascii="Times New Roman" w:eastAsia="DaxlinePro-Light" w:hAnsi="Times New Roman" w:cs="Times New Roman"/>
          <w:b/>
          <w:bCs/>
          <w:sz w:val="24"/>
          <w:szCs w:val="24"/>
        </w:rPr>
        <w:t>1</w:t>
      </w:r>
      <w:r w:rsidRPr="003440E5">
        <w:rPr>
          <w:rFonts w:ascii="Times New Roman" w:eastAsia="DaxlinePro-Light" w:hAnsi="Times New Roman" w:cs="Times New Roman"/>
          <w:b/>
          <w:bCs/>
          <w:sz w:val="24"/>
          <w:szCs w:val="24"/>
        </w:rPr>
        <w:t>:00 (ora Romaniei)</w:t>
      </w:r>
      <w:r w:rsidRPr="003440E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02EC648C" w14:textId="77777777" w:rsidR="009141DC" w:rsidRPr="003440E5" w:rsidRDefault="009141DC" w:rsidP="009141D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0AFB139" w14:textId="77777777" w:rsidR="00783B01" w:rsidRPr="003440E5" w:rsidRDefault="00D70C37" w:rsidP="00783B01">
      <w:pPr>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rPr>
        <w:t xml:space="preserve">Pentru punctul 1 de pe ordinea de zi, respectiv: </w:t>
      </w:r>
      <w:r w:rsidR="00783B01" w:rsidRPr="003440E5">
        <w:rPr>
          <w:rFonts w:ascii="Times New Roman" w:eastAsia="Calibri" w:hAnsi="Times New Roman" w:cs="Times New Roman"/>
          <w:b/>
          <w:bCs/>
          <w:color w:val="000000"/>
          <w:sz w:val="24"/>
          <w:szCs w:val="24"/>
        </w:rPr>
        <w:t>Aprobarea</w:t>
      </w:r>
      <w:r w:rsidR="00783B01" w:rsidRPr="003440E5">
        <w:rPr>
          <w:rFonts w:ascii="Times New Roman" w:eastAsia="Calibri" w:hAnsi="Times New Roman" w:cs="Times New Roman"/>
          <w:color w:val="000000"/>
          <w:sz w:val="24"/>
          <w:szCs w:val="24"/>
        </w:rPr>
        <w:t xml:space="preserve"> achiziției de către Societate a unui număr de 3.995.999 de acțiuni ("</w:t>
      </w:r>
      <w:r w:rsidR="00783B01" w:rsidRPr="003440E5">
        <w:rPr>
          <w:rFonts w:ascii="Times New Roman" w:eastAsia="Calibri" w:hAnsi="Times New Roman" w:cs="Times New Roman"/>
          <w:b/>
          <w:bCs/>
          <w:color w:val="000000"/>
          <w:sz w:val="24"/>
          <w:szCs w:val="24"/>
        </w:rPr>
        <w:t>Acțiunile Cesionate</w:t>
      </w:r>
      <w:r w:rsidR="00783B01" w:rsidRPr="003440E5">
        <w:rPr>
          <w:rFonts w:ascii="Times New Roman" w:eastAsia="Calibri" w:hAnsi="Times New Roman" w:cs="Times New Roman"/>
          <w:color w:val="000000"/>
          <w:sz w:val="24"/>
          <w:szCs w:val="24"/>
        </w:rPr>
        <w:t>"), având fiecare valoarea nominală de 1 RON și o valoare nominală totală de 3.995.999 RON (“</w:t>
      </w:r>
      <w:r w:rsidR="00783B01" w:rsidRPr="003440E5">
        <w:rPr>
          <w:rFonts w:ascii="Times New Roman" w:eastAsia="Calibri" w:hAnsi="Times New Roman" w:cs="Times New Roman"/>
          <w:b/>
          <w:bCs/>
          <w:color w:val="000000"/>
          <w:sz w:val="24"/>
          <w:szCs w:val="24"/>
        </w:rPr>
        <w:t>Achiziția Acțiunilor ELP</w:t>
      </w:r>
      <w:r w:rsidR="00783B01" w:rsidRPr="003440E5">
        <w:rPr>
          <w:rFonts w:ascii="Times New Roman" w:eastAsia="Calibri" w:hAnsi="Times New Roman" w:cs="Times New Roman"/>
          <w:color w:val="000000"/>
          <w:sz w:val="24"/>
          <w:szCs w:val="24"/>
        </w:rPr>
        <w:t xml:space="preserve">”), deținute de </w:t>
      </w:r>
      <w:r w:rsidR="00783B01" w:rsidRPr="003440E5">
        <w:rPr>
          <w:rFonts w:ascii="Times New Roman" w:eastAsia="Calibri" w:hAnsi="Times New Roman" w:cs="Times New Roman"/>
          <w:b/>
          <w:bCs/>
          <w:color w:val="000000"/>
          <w:sz w:val="24"/>
          <w:szCs w:val="24"/>
        </w:rPr>
        <w:t>Societatea de Investiții Alternative cu Capital Privat Roca Investments S.A.</w:t>
      </w:r>
      <w:r w:rsidR="00783B01" w:rsidRPr="003440E5">
        <w:rPr>
          <w:rFonts w:ascii="Times New Roman" w:eastAsia="Calibri" w:hAnsi="Times New Roman" w:cs="Times New Roman"/>
          <w:color w:val="000000"/>
          <w:sz w:val="24"/>
          <w:szCs w:val="24"/>
        </w:rPr>
        <w:t>, societate pe acțiuni, înființată și funcționând în conformitate cu legislația din România, cu sediul social situat în București, strada Gara Herăstrău, nr. 4, clădirea A, etaj 3, Modul 17, Sectorul 2, România, înregistrată la Registrului Comerțului cu numărul J40/15602/2017, având cod unic de înregistrare 38201915 (“</w:t>
      </w:r>
      <w:r w:rsidR="00783B01" w:rsidRPr="003440E5">
        <w:rPr>
          <w:rFonts w:ascii="Times New Roman" w:eastAsia="Calibri" w:hAnsi="Times New Roman" w:cs="Times New Roman"/>
          <w:b/>
          <w:bCs/>
          <w:color w:val="000000"/>
          <w:sz w:val="24"/>
          <w:szCs w:val="24"/>
        </w:rPr>
        <w:t>Roca Investments</w:t>
      </w:r>
      <w:r w:rsidR="00783B01" w:rsidRPr="003440E5">
        <w:rPr>
          <w:rFonts w:ascii="Times New Roman" w:eastAsia="Calibri" w:hAnsi="Times New Roman" w:cs="Times New Roman"/>
          <w:color w:val="000000"/>
          <w:sz w:val="24"/>
          <w:szCs w:val="24"/>
        </w:rPr>
        <w:t>”), și reprezentând 99,99997% din capitalul social al societății</w:t>
      </w:r>
      <w:r w:rsidR="00783B01" w:rsidRPr="003440E5">
        <w:rPr>
          <w:rFonts w:ascii="Times New Roman" w:eastAsia="Calibri" w:hAnsi="Times New Roman" w:cs="Times New Roman"/>
          <w:b/>
          <w:bCs/>
          <w:color w:val="000000"/>
          <w:sz w:val="24"/>
          <w:szCs w:val="24"/>
        </w:rPr>
        <w:t xml:space="preserve"> ELECTROPLAST S.A.</w:t>
      </w:r>
      <w:r w:rsidR="00783B01" w:rsidRPr="003440E5">
        <w:rPr>
          <w:rFonts w:ascii="Times New Roman" w:eastAsia="Calibri" w:hAnsi="Times New Roman" w:cs="Times New Roman"/>
          <w:color w:val="000000"/>
          <w:sz w:val="24"/>
          <w:szCs w:val="24"/>
        </w:rPr>
        <w:t>, o societate pe acțiuni înființată și funcționând in conformitate cu legile din Romania, cu sediul în municipiul Bistrița, str. Subcetate nr. 14, județul Bistrița-Năsăud, înregistrată la Registrul Comerțului cu nr. J6/1036/1993, cod unic de înregistrare 5027384 ("</w:t>
      </w:r>
      <w:r w:rsidR="00783B01" w:rsidRPr="003440E5">
        <w:rPr>
          <w:rFonts w:ascii="Times New Roman" w:eastAsia="Calibri" w:hAnsi="Times New Roman" w:cs="Times New Roman"/>
          <w:b/>
          <w:bCs/>
          <w:color w:val="000000"/>
          <w:sz w:val="24"/>
          <w:szCs w:val="24"/>
        </w:rPr>
        <w:t>ELP</w:t>
      </w:r>
      <w:r w:rsidR="00783B01" w:rsidRPr="003440E5">
        <w:rPr>
          <w:rFonts w:ascii="Times New Roman" w:eastAsia="Calibri" w:hAnsi="Times New Roman" w:cs="Times New Roman"/>
          <w:color w:val="000000"/>
          <w:sz w:val="24"/>
          <w:szCs w:val="24"/>
        </w:rPr>
        <w:t xml:space="preserve">”), pentru un preț egal cu 45.750.988,6 RON, stabilit pe baza unui raport de evaluare </w:t>
      </w:r>
      <w:r w:rsidR="00783B01" w:rsidRPr="003440E5">
        <w:rPr>
          <w:rFonts w:ascii="Times New Roman" w:eastAsia="Calibri" w:hAnsi="Times New Roman" w:cs="Times New Roman"/>
          <w:color w:val="000000"/>
          <w:sz w:val="24"/>
          <w:szCs w:val="24"/>
        </w:rPr>
        <w:lastRenderedPageBreak/>
        <w:t>întocmit de un evaluator independent autorizat ANEVAR, precum și negocierea, încheierea, executarea și livrarea de către Societate, în calitate de cumpărător, fără limitare, a următoarelor documente în legătură cu Achiziția Acțiunilor ELP:</w:t>
      </w:r>
    </w:p>
    <w:p w14:paraId="1F2ECB53" w14:textId="77777777" w:rsidR="00783B01" w:rsidRPr="003440E5" w:rsidRDefault="00783B01" w:rsidP="0005751C">
      <w:pPr>
        <w:pStyle w:val="ListParagraph"/>
        <w:numPr>
          <w:ilvl w:val="0"/>
          <w:numId w:val="1"/>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contractul de vânzare-cumpărare pe care Societatea, în calitate de cumpărător, îl va încheia cu Roca Investments, în calitate de vânzător, având ca obiect cumpărarea a 3.995.999 de acțiuni deținute de Roca Investments și reprezentând 99,99997% din capitalul social al ELP ("</w:t>
      </w:r>
      <w:r w:rsidRPr="003440E5">
        <w:rPr>
          <w:rFonts w:ascii="Times New Roman" w:eastAsia="Calibri" w:hAnsi="Times New Roman" w:cs="Times New Roman"/>
          <w:b/>
          <w:bCs/>
          <w:color w:val="000000"/>
          <w:sz w:val="24"/>
          <w:szCs w:val="24"/>
        </w:rPr>
        <w:t>CVC</w:t>
      </w:r>
      <w:r w:rsidRPr="003440E5">
        <w:rPr>
          <w:rFonts w:ascii="Times New Roman" w:eastAsia="Calibri" w:hAnsi="Times New Roman" w:cs="Times New Roman"/>
          <w:color w:val="000000"/>
          <w:sz w:val="24"/>
          <w:szCs w:val="24"/>
        </w:rPr>
        <w:t xml:space="preserve">”), conform termenilor și condițiilor stabilite prin prezenta AGEA, precum și de către Consiliul de Administrație, potrivit punctului </w:t>
      </w:r>
      <w:r w:rsidRPr="003440E5">
        <w:rPr>
          <w:rFonts w:ascii="Times New Roman" w:eastAsia="Calibri" w:hAnsi="Times New Roman" w:cs="Times New Roman"/>
          <w:color w:val="000000"/>
          <w:sz w:val="24"/>
          <w:szCs w:val="24"/>
        </w:rPr>
        <w:fldChar w:fldCharType="begin"/>
      </w:r>
      <w:r w:rsidRPr="003440E5">
        <w:rPr>
          <w:rFonts w:ascii="Times New Roman" w:eastAsia="Calibri" w:hAnsi="Times New Roman" w:cs="Times New Roman"/>
          <w:color w:val="000000"/>
          <w:sz w:val="24"/>
          <w:szCs w:val="24"/>
        </w:rPr>
        <w:instrText xml:space="preserve"> REF _Ref134796637 \r \h  \* MERGEFORMAT </w:instrText>
      </w:r>
      <w:r w:rsidRPr="003440E5">
        <w:rPr>
          <w:rFonts w:ascii="Times New Roman" w:eastAsia="Calibri" w:hAnsi="Times New Roman" w:cs="Times New Roman"/>
          <w:color w:val="000000"/>
          <w:sz w:val="24"/>
          <w:szCs w:val="24"/>
        </w:rPr>
      </w:r>
      <w:r w:rsidRPr="003440E5">
        <w:rPr>
          <w:rFonts w:ascii="Times New Roman" w:eastAsia="Calibri" w:hAnsi="Times New Roman" w:cs="Times New Roman"/>
          <w:color w:val="000000"/>
          <w:sz w:val="24"/>
          <w:szCs w:val="24"/>
        </w:rPr>
        <w:fldChar w:fldCharType="separate"/>
      </w:r>
      <w:r w:rsidRPr="003440E5">
        <w:rPr>
          <w:rFonts w:ascii="Times New Roman" w:eastAsia="Calibri" w:hAnsi="Times New Roman" w:cs="Times New Roman"/>
          <w:color w:val="000000"/>
          <w:sz w:val="24"/>
          <w:szCs w:val="24"/>
        </w:rPr>
        <w:t>3</w:t>
      </w:r>
      <w:r w:rsidRPr="003440E5">
        <w:rPr>
          <w:rFonts w:ascii="Times New Roman" w:eastAsia="Calibri" w:hAnsi="Times New Roman" w:cs="Times New Roman"/>
          <w:color w:val="000000"/>
          <w:sz w:val="24"/>
          <w:szCs w:val="24"/>
        </w:rPr>
        <w:fldChar w:fldCharType="end"/>
      </w:r>
      <w:r w:rsidRPr="003440E5">
        <w:rPr>
          <w:rFonts w:ascii="Times New Roman" w:eastAsia="Calibri" w:hAnsi="Times New Roman" w:cs="Times New Roman"/>
          <w:color w:val="000000"/>
          <w:sz w:val="24"/>
          <w:szCs w:val="24"/>
        </w:rPr>
        <w:t xml:space="preserve"> de mai jos, în limitele stabilite de prezenta AGEA;</w:t>
      </w:r>
    </w:p>
    <w:p w14:paraId="613AED1E" w14:textId="77777777" w:rsidR="00783B01" w:rsidRPr="003440E5" w:rsidRDefault="00783B01" w:rsidP="0005751C">
      <w:pPr>
        <w:pStyle w:val="ListParagraph"/>
        <w:numPr>
          <w:ilvl w:val="0"/>
          <w:numId w:val="1"/>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în măsura necesară sau oportună potrivit legii aplicabile, registrul acționarilor, hotărârea adunării generale a acționarilor ELP, precum și actul constitutiv al ELP, actualizat ca urmare a Achiziției Acțiunilor ELP;</w:t>
      </w:r>
    </w:p>
    <w:p w14:paraId="2CA77A0E" w14:textId="77777777" w:rsidR="00783B01" w:rsidRPr="003440E5" w:rsidRDefault="00783B01" w:rsidP="0005751C">
      <w:pPr>
        <w:pStyle w:val="ListParagraph"/>
        <w:numPr>
          <w:ilvl w:val="0"/>
          <w:numId w:val="1"/>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orice documente, notificări, certificate, împuterniciri, scrisori privind comisioanele, certificate de transfer, acte de aderare, declarații, acte, derogări, modificări, amendamente și orice alte acorduri sau înțelegeri similare și orice alte documente în legătură cu Achiziția Acțiunilor ELP;</w:t>
      </w:r>
    </w:p>
    <w:p w14:paraId="300242FA" w14:textId="77777777" w:rsidR="00783B01" w:rsidRPr="003440E5" w:rsidRDefault="00783B01" w:rsidP="0005751C">
      <w:pPr>
        <w:pStyle w:val="ListParagraph"/>
        <w:numPr>
          <w:ilvl w:val="0"/>
          <w:numId w:val="1"/>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oricare și toate acordurile suplimentare, actele adiționale și alte acorduri similare sau înțelegeri în legătură cu orice documentele referitoare la Achiziția Acțiunilor ELP; și</w:t>
      </w:r>
    </w:p>
    <w:p w14:paraId="61D04D21" w14:textId="77777777" w:rsidR="00783B01" w:rsidRPr="003440E5" w:rsidRDefault="00783B01" w:rsidP="0005751C">
      <w:pPr>
        <w:pStyle w:val="ListParagraph"/>
        <w:numPr>
          <w:ilvl w:val="0"/>
          <w:numId w:val="1"/>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 xml:space="preserve">oricare formalități necesare, recomandabile sau dorite pentru a asigura caracterul valabil, obligatoriu și de natură să producă efecte juridice al Achiziției Acțiunilor ELP, al CVC și al oricăror documente în legătură cu Achiziția Acțiunilor ELP sau cu CVC. </w:t>
      </w:r>
    </w:p>
    <w:tbl>
      <w:tblPr>
        <w:tblW w:w="4765" w:type="dxa"/>
        <w:jc w:val="center"/>
        <w:tblLayout w:type="fixed"/>
        <w:tblLook w:val="0400" w:firstRow="0" w:lastRow="0" w:firstColumn="0" w:lastColumn="0" w:noHBand="0" w:noVBand="1"/>
      </w:tblPr>
      <w:tblGrid>
        <w:gridCol w:w="1345"/>
        <w:gridCol w:w="1710"/>
        <w:gridCol w:w="1710"/>
      </w:tblGrid>
      <w:tr w:rsidR="00D70C37" w:rsidRPr="003440E5"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D70C37" w:rsidRPr="003440E5"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3E2A0158" w14:textId="77777777" w:rsidR="00BC54DF" w:rsidRPr="003440E5" w:rsidRDefault="00BC54DF" w:rsidP="00783B01">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1D85AD51" w14:textId="77777777" w:rsidR="00901DD8" w:rsidRPr="003440E5" w:rsidRDefault="00D70C37" w:rsidP="00901DD8">
      <w:pPr>
        <w:tabs>
          <w:tab w:val="left" w:pos="450"/>
        </w:tabs>
        <w:spacing w:before="200" w:after="200" w:line="240" w:lineRule="auto"/>
        <w:jc w:val="both"/>
        <w:rPr>
          <w:rFonts w:ascii="Times New Roman" w:eastAsia="Calibri" w:hAnsi="Times New Roman" w:cs="Times New Roman"/>
          <w:color w:val="000000"/>
          <w:sz w:val="24"/>
          <w:szCs w:val="24"/>
        </w:rPr>
      </w:pPr>
      <w:proofErr w:type="spellStart"/>
      <w:r w:rsidRPr="003440E5">
        <w:rPr>
          <w:rFonts w:ascii="Times New Roman" w:eastAsia="DaxlinePro-Light" w:hAnsi="Times New Roman" w:cs="Times New Roman"/>
          <w:b/>
          <w:bCs/>
          <w:iCs/>
          <w:sz w:val="24"/>
          <w:szCs w:val="24"/>
          <w:lang w:val="en"/>
        </w:rPr>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2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w:t>
      </w:r>
      <w:proofErr w:type="spellStart"/>
      <w:r w:rsidRPr="003440E5">
        <w:rPr>
          <w:rFonts w:ascii="Times New Roman" w:eastAsia="DaxlinePro-Light" w:hAnsi="Times New Roman" w:cs="Times New Roman"/>
          <w:b/>
          <w:bCs/>
          <w:iCs/>
          <w:sz w:val="24"/>
          <w:szCs w:val="24"/>
          <w:lang w:val="en"/>
        </w:rPr>
        <w:t>zi</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00901DD8" w:rsidRPr="003440E5">
        <w:rPr>
          <w:rFonts w:ascii="Times New Roman" w:eastAsia="Calibri" w:hAnsi="Times New Roman" w:cs="Times New Roman"/>
          <w:b/>
          <w:bCs/>
          <w:sz w:val="24"/>
          <w:szCs w:val="24"/>
        </w:rPr>
        <w:t>Aprobarea</w:t>
      </w:r>
      <w:r w:rsidR="00901DD8" w:rsidRPr="003440E5">
        <w:rPr>
          <w:rFonts w:ascii="Times New Roman" w:eastAsia="Calibri" w:hAnsi="Times New Roman" w:cs="Times New Roman"/>
          <w:sz w:val="24"/>
          <w:szCs w:val="24"/>
        </w:rPr>
        <w:t xml:space="preserve"> preluării de către Societate, în calitate de cesionar, a creanțelor deținute de Roca Investments împotriva Electroplast, rezultate din contractele de împrumut încheiate de Roca Investments, în calitate de creditor și Electroplast, în calitate de debitor, pentru un preț de cesiune egal cu valoarea nominală a creanțelor cedate, în valoare maximă de până la 12.000.000 RON („</w:t>
      </w:r>
      <w:r w:rsidR="00901DD8" w:rsidRPr="003440E5">
        <w:rPr>
          <w:rFonts w:ascii="Times New Roman" w:eastAsia="Calibri" w:hAnsi="Times New Roman" w:cs="Times New Roman"/>
          <w:b/>
          <w:bCs/>
          <w:sz w:val="24"/>
          <w:szCs w:val="24"/>
        </w:rPr>
        <w:t>Cesiunea de Creanță</w:t>
      </w:r>
      <w:r w:rsidR="00901DD8" w:rsidRPr="003440E5">
        <w:rPr>
          <w:rFonts w:ascii="Times New Roman" w:eastAsia="Calibri" w:hAnsi="Times New Roman" w:cs="Times New Roman"/>
          <w:sz w:val="24"/>
          <w:szCs w:val="24"/>
        </w:rPr>
        <w:t xml:space="preserve">”), </w:t>
      </w:r>
      <w:r w:rsidR="00901DD8" w:rsidRPr="003440E5">
        <w:rPr>
          <w:rFonts w:ascii="Times New Roman" w:eastAsia="Calibri" w:hAnsi="Times New Roman" w:cs="Times New Roman"/>
          <w:color w:val="000000"/>
          <w:sz w:val="24"/>
          <w:szCs w:val="24"/>
        </w:rPr>
        <w:t>precum și negocierea, încheierea, executarea și livrarea de către Societate, în calitate de cesionar, fără limitare, a următoarelor documente în legătură cu Cesiunea de Creanță:</w:t>
      </w:r>
    </w:p>
    <w:p w14:paraId="2C56ABA2" w14:textId="77777777" w:rsidR="00901DD8" w:rsidRPr="003440E5" w:rsidRDefault="00901DD8" w:rsidP="0005751C">
      <w:pPr>
        <w:pStyle w:val="ListParagraph"/>
        <w:numPr>
          <w:ilvl w:val="0"/>
          <w:numId w:val="2"/>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contractul de cesiune de creanță pe care Societatea, în calitate de cesionar, îl va încheia cu Roca Investments, în calitate de cedent, și cu Electroplast, în calitate de debitor cedat, având ca obiect cesiunea creanțelor deținute de Roca Investments față de Electroplast, în valoare de până la 12.000.000</w:t>
      </w:r>
      <w:r w:rsidRPr="003440E5">
        <w:rPr>
          <w:rFonts w:ascii="Times New Roman" w:eastAsia="Calibri" w:hAnsi="Times New Roman" w:cs="Times New Roman"/>
          <w:sz w:val="24"/>
          <w:szCs w:val="24"/>
        </w:rPr>
        <w:t> RON, pentru un preț de cesiune egal cu valoarea nominală a creanțelor cedate („</w:t>
      </w:r>
      <w:r w:rsidRPr="003440E5">
        <w:rPr>
          <w:rFonts w:ascii="Times New Roman" w:eastAsia="Calibri" w:hAnsi="Times New Roman" w:cs="Times New Roman"/>
          <w:b/>
          <w:bCs/>
          <w:sz w:val="24"/>
          <w:szCs w:val="24"/>
        </w:rPr>
        <w:t>Contractul de Cesiune</w:t>
      </w:r>
      <w:r w:rsidRPr="003440E5">
        <w:rPr>
          <w:rFonts w:ascii="Times New Roman" w:eastAsia="Calibri" w:hAnsi="Times New Roman" w:cs="Times New Roman"/>
          <w:sz w:val="24"/>
          <w:szCs w:val="24"/>
        </w:rPr>
        <w:t>”);</w:t>
      </w:r>
    </w:p>
    <w:p w14:paraId="140329F7" w14:textId="77777777" w:rsidR="00901DD8" w:rsidRPr="003440E5" w:rsidRDefault="00901DD8" w:rsidP="0005751C">
      <w:pPr>
        <w:pStyle w:val="ListParagraph"/>
        <w:numPr>
          <w:ilvl w:val="0"/>
          <w:numId w:val="2"/>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lastRenderedPageBreak/>
        <w:t>orice documente, notificări, certificate, împuterniciri, scrisori privind comisioanele, certificate de transfer, acte de aderare, declarații, acte, derogări, modificări, amendamente și orice alte acorduri sau înțelegeri similare și orice alte documente în legătură cu Cesiunea de Creanță;</w:t>
      </w:r>
    </w:p>
    <w:p w14:paraId="0C26A241" w14:textId="77777777" w:rsidR="0078397E" w:rsidRDefault="00901DD8" w:rsidP="0005751C">
      <w:pPr>
        <w:pStyle w:val="ListParagraph"/>
        <w:numPr>
          <w:ilvl w:val="0"/>
          <w:numId w:val="2"/>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oricare și toate acordurile suplimentare, actele adiționale și alte acorduri similare sau înțelegeri în legătură cu orice documentele referitoare la Cesiunea de Creanță; și</w:t>
      </w:r>
    </w:p>
    <w:p w14:paraId="5B3A9BD9" w14:textId="27D4073E" w:rsidR="00D70C37" w:rsidRPr="0078397E" w:rsidRDefault="00901DD8" w:rsidP="0005751C">
      <w:pPr>
        <w:pStyle w:val="ListParagraph"/>
        <w:numPr>
          <w:ilvl w:val="0"/>
          <w:numId w:val="2"/>
        </w:numPr>
        <w:ind w:left="810"/>
        <w:contextualSpacing w:val="0"/>
        <w:jc w:val="both"/>
        <w:rPr>
          <w:rFonts w:ascii="Times New Roman" w:eastAsia="Calibri" w:hAnsi="Times New Roman" w:cs="Times New Roman"/>
          <w:color w:val="000000"/>
          <w:sz w:val="24"/>
          <w:szCs w:val="24"/>
        </w:rPr>
      </w:pPr>
      <w:r w:rsidRPr="0078397E">
        <w:rPr>
          <w:rFonts w:ascii="Times New Roman" w:eastAsia="Calibri" w:hAnsi="Times New Roman" w:cs="Times New Roman"/>
          <w:color w:val="000000"/>
          <w:sz w:val="24"/>
          <w:szCs w:val="24"/>
        </w:rPr>
        <w:t>oricare formalități necesare, recomandabile sau dorite pentru a asigura caracterul valabil, obligatoriu și de natură să producă efecte juridice al Cesiunii de Creanță, al Contractului de Cesiune și al oricăror documente în legătură cu Cesiunea de Creanță sau cu Contractul de Cesiune</w:t>
      </w:r>
      <w:r w:rsidR="00B90A70" w:rsidRPr="0078397E">
        <w:rPr>
          <w:rFonts w:ascii="Times New Roman" w:eastAsia="DaxlinePro-Light" w:hAnsi="Times New Roman" w:cs="Times New Roman"/>
          <w:iCs/>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810A94" w:rsidRPr="003440E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810A94" w:rsidRPr="003440E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7B048E3" w14:textId="77777777" w:rsidR="00D70C37" w:rsidRPr="003440E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EA6B1A6" w14:textId="77777777" w:rsidR="00763435" w:rsidRPr="003440E5" w:rsidRDefault="00901DD8" w:rsidP="00763435">
      <w:pPr>
        <w:tabs>
          <w:tab w:val="left" w:pos="450"/>
        </w:tabs>
        <w:spacing w:before="200" w:after="200" w:line="240" w:lineRule="auto"/>
        <w:jc w:val="both"/>
        <w:rPr>
          <w:rFonts w:ascii="Times New Roman" w:eastAsia="Calibri" w:hAnsi="Times New Roman" w:cs="Times New Roman"/>
          <w:color w:val="000000"/>
          <w:sz w:val="24"/>
          <w:szCs w:val="24"/>
        </w:rPr>
      </w:pPr>
      <w:proofErr w:type="spellStart"/>
      <w:r w:rsidRPr="003440E5">
        <w:rPr>
          <w:rFonts w:ascii="Times New Roman" w:eastAsia="DaxlinePro-Light" w:hAnsi="Times New Roman" w:cs="Times New Roman"/>
          <w:b/>
          <w:bCs/>
          <w:iCs/>
          <w:sz w:val="24"/>
          <w:szCs w:val="24"/>
          <w:lang w:val="en"/>
        </w:rPr>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w:t>
      </w:r>
      <w:r w:rsidR="002F2F08" w:rsidRPr="003440E5">
        <w:rPr>
          <w:rFonts w:ascii="Times New Roman" w:eastAsia="DaxlinePro-Light" w:hAnsi="Times New Roman" w:cs="Times New Roman"/>
          <w:b/>
          <w:bCs/>
          <w:iCs/>
          <w:sz w:val="24"/>
          <w:szCs w:val="24"/>
          <w:lang w:val="en"/>
        </w:rPr>
        <w:t>3</w:t>
      </w:r>
      <w:r w:rsidRPr="003440E5">
        <w:rPr>
          <w:rFonts w:ascii="Times New Roman" w:eastAsia="DaxlinePro-Light" w:hAnsi="Times New Roman" w:cs="Times New Roman"/>
          <w:b/>
          <w:bCs/>
          <w:iCs/>
          <w:sz w:val="24"/>
          <w:szCs w:val="24"/>
          <w:lang w:val="en"/>
        </w:rPr>
        <w:t xml:space="preserve">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w:t>
      </w:r>
      <w:proofErr w:type="spellStart"/>
      <w:r w:rsidRPr="003440E5">
        <w:rPr>
          <w:rFonts w:ascii="Times New Roman" w:eastAsia="DaxlinePro-Light" w:hAnsi="Times New Roman" w:cs="Times New Roman"/>
          <w:b/>
          <w:bCs/>
          <w:iCs/>
          <w:sz w:val="24"/>
          <w:szCs w:val="24"/>
          <w:lang w:val="en"/>
        </w:rPr>
        <w:t>zi</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bookmarkStart w:id="3" w:name="_Ref134796637"/>
      <w:r w:rsidR="00763435" w:rsidRPr="003440E5">
        <w:rPr>
          <w:rFonts w:ascii="Times New Roman" w:eastAsia="Calibri" w:hAnsi="Times New Roman" w:cs="Times New Roman"/>
          <w:b/>
          <w:bCs/>
          <w:color w:val="000000"/>
          <w:sz w:val="24"/>
          <w:szCs w:val="24"/>
        </w:rPr>
        <w:t xml:space="preserve">Aprobarea </w:t>
      </w:r>
      <w:r w:rsidR="00763435" w:rsidRPr="003440E5">
        <w:rPr>
          <w:rFonts w:ascii="Times New Roman" w:eastAsia="Calibri" w:hAnsi="Times New Roman" w:cs="Times New Roman"/>
          <w:color w:val="000000"/>
          <w:sz w:val="24"/>
          <w:szCs w:val="24"/>
        </w:rPr>
        <w:t>împuternicirii Consiliului de Administrație, în numele și pe seama Societății, pentru:</w:t>
      </w:r>
      <w:bookmarkEnd w:id="3"/>
    </w:p>
    <w:p w14:paraId="4BF9E906" w14:textId="77777777" w:rsidR="00763435" w:rsidRPr="003440E5" w:rsidRDefault="00763435" w:rsidP="0005751C">
      <w:pPr>
        <w:pStyle w:val="ListParagraph"/>
        <w:numPr>
          <w:ilvl w:val="0"/>
          <w:numId w:val="3"/>
        </w:numPr>
        <w:tabs>
          <w:tab w:val="left" w:pos="450"/>
        </w:tabs>
        <w:spacing w:before="200" w:after="200" w:line="240" w:lineRule="auto"/>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stabilirea și aprobarea termenilor și condițiilor concrete ale Achiziției Acțiunilor ELP și Cesiunii de Creanță, potrivit limitelor aprobate prin prezenta AGEA;</w:t>
      </w:r>
    </w:p>
    <w:p w14:paraId="4D6D5C1A" w14:textId="77777777" w:rsidR="00763435" w:rsidRPr="003440E5" w:rsidRDefault="00763435" w:rsidP="0005751C">
      <w:pPr>
        <w:pStyle w:val="ListParagraph"/>
        <w:numPr>
          <w:ilvl w:val="0"/>
          <w:numId w:val="3"/>
        </w:numPr>
        <w:tabs>
          <w:tab w:val="left" w:pos="450"/>
        </w:tabs>
        <w:spacing w:before="200" w:after="200" w:line="240" w:lineRule="auto"/>
        <w:ind w:left="810"/>
        <w:contextualSpacing w:val="0"/>
        <w:jc w:val="both"/>
        <w:rPr>
          <w:rFonts w:ascii="Times New Roman" w:eastAsia="Calibri" w:hAnsi="Times New Roman" w:cs="Times New Roman"/>
          <w:color w:val="000000"/>
          <w:sz w:val="24"/>
          <w:szCs w:val="24"/>
        </w:rPr>
      </w:pPr>
      <w:bookmarkStart w:id="4" w:name="_Ref134550880"/>
      <w:r w:rsidRPr="003440E5">
        <w:rPr>
          <w:rFonts w:ascii="Times New Roman" w:eastAsia="Calibri" w:hAnsi="Times New Roman" w:cs="Times New Roman"/>
          <w:color w:val="000000"/>
          <w:sz w:val="24"/>
          <w:szCs w:val="24"/>
        </w:rPr>
        <w:t>negocierea, redactarea, semnarea, încheierea, livrarea, perfectarea,</w:t>
      </w:r>
      <w:r w:rsidRPr="003440E5" w:rsidDel="007049D7">
        <w:rPr>
          <w:rFonts w:ascii="Times New Roman" w:eastAsia="Calibri" w:hAnsi="Times New Roman" w:cs="Times New Roman"/>
          <w:color w:val="000000"/>
          <w:sz w:val="24"/>
          <w:szCs w:val="24"/>
        </w:rPr>
        <w:t xml:space="preserve"> </w:t>
      </w:r>
      <w:r w:rsidRPr="003440E5">
        <w:rPr>
          <w:rFonts w:ascii="Times New Roman" w:eastAsia="Calibri" w:hAnsi="Times New Roman" w:cs="Times New Roman"/>
          <w:color w:val="000000"/>
          <w:sz w:val="24"/>
          <w:szCs w:val="24"/>
        </w:rPr>
        <w:t>depunerea, primirea, expedierea, modificarea, completarea, dacă este cazul, și executarea pentru și în numele Societății a CVC, Constractului de Cesiune și a tuturor documentelor în legătură cu CVC, Contractul de Cesiune și/sau cu Achiziția Acțiunilor ELP și/sau Cesiunea de Creanță;</w:t>
      </w:r>
      <w:bookmarkEnd w:id="4"/>
    </w:p>
    <w:p w14:paraId="777331E0" w14:textId="77777777" w:rsidR="00763435" w:rsidRPr="003440E5" w:rsidRDefault="00763435" w:rsidP="0005751C">
      <w:pPr>
        <w:pStyle w:val="ListParagraph"/>
        <w:numPr>
          <w:ilvl w:val="0"/>
          <w:numId w:val="3"/>
        </w:numPr>
        <w:tabs>
          <w:tab w:val="left" w:pos="450"/>
        </w:tabs>
        <w:spacing w:before="200" w:after="200" w:line="240" w:lineRule="auto"/>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îndeplinirea tuturor formalităților și întreprinderea oricăror alte acțiuni administrative, juridice sau de altă natură necesare, adecvate sau recomandabile pentru a da efect deplin CVC, Contractul de Cesiune, Achiziției Acțiunilor ELP și Cesiunii de Creanță; și</w:t>
      </w:r>
    </w:p>
    <w:p w14:paraId="194D55D0" w14:textId="77777777" w:rsidR="00763435" w:rsidRPr="003440E5" w:rsidRDefault="00763435" w:rsidP="0005751C">
      <w:pPr>
        <w:pStyle w:val="ListParagraph"/>
        <w:numPr>
          <w:ilvl w:val="0"/>
          <w:numId w:val="3"/>
        </w:numPr>
        <w:tabs>
          <w:tab w:val="left" w:pos="450"/>
        </w:tabs>
        <w:spacing w:before="200" w:after="200" w:line="240" w:lineRule="auto"/>
        <w:ind w:left="810"/>
        <w:contextualSpacing w:val="0"/>
        <w:jc w:val="both"/>
        <w:rPr>
          <w:rFonts w:ascii="Times New Roman" w:eastAsia="Calibri" w:hAnsi="Times New Roman" w:cs="Times New Roman"/>
          <w:color w:val="000000"/>
          <w:sz w:val="24"/>
          <w:szCs w:val="24"/>
        </w:rPr>
      </w:pPr>
      <w:bookmarkStart w:id="5" w:name="_Ref134550883"/>
      <w:r w:rsidRPr="003440E5">
        <w:rPr>
          <w:rFonts w:ascii="Times New Roman" w:eastAsia="Calibri" w:hAnsi="Times New Roman" w:cs="Times New Roman"/>
          <w:color w:val="000000"/>
          <w:sz w:val="24"/>
          <w:szCs w:val="24"/>
        </w:rPr>
        <w:t>în general, întreprinderea tuturor actelor și faptelor necesare sau recomandabile pentru a da efect deplin CVC, Contractului de Cesiune și tuturor documentelor referitoare la CVC, Contractul de Cesiune, și/sau la Achiziția Acțiunilor ELP și/sau la Cesiunea de Creanță și/sau pentru a respecta prevederile respectivelor documente, în scopul îndeplinirii tuturor operațiunilor menționate mai sus.</w:t>
      </w:r>
      <w:bookmarkEnd w:id="5"/>
    </w:p>
    <w:p w14:paraId="6768D209" w14:textId="01C0E807" w:rsidR="00901DD8" w:rsidRPr="003440E5" w:rsidRDefault="00763435" w:rsidP="006E4779">
      <w:pPr>
        <w:tabs>
          <w:tab w:val="left" w:pos="450"/>
        </w:tabs>
        <w:spacing w:before="200" w:after="200" w:line="240" w:lineRule="auto"/>
        <w:ind w:left="450"/>
        <w:jc w:val="both"/>
        <w:rPr>
          <w:rFonts w:ascii="Times New Roman" w:eastAsia="DaxlinePro-Light" w:hAnsi="Times New Roman" w:cs="Times New Roman"/>
          <w:iCs/>
          <w:sz w:val="24"/>
          <w:szCs w:val="24"/>
        </w:rPr>
      </w:pPr>
      <w:r w:rsidRPr="003440E5">
        <w:rPr>
          <w:rFonts w:ascii="Times New Roman" w:eastAsia="Calibri" w:hAnsi="Times New Roman" w:cs="Times New Roman"/>
          <w:color w:val="000000"/>
          <w:sz w:val="24"/>
          <w:szCs w:val="24"/>
        </w:rPr>
        <w:t xml:space="preserve">În ceea ce privește la punctele </w:t>
      </w:r>
      <w:r w:rsidRPr="003440E5">
        <w:rPr>
          <w:rFonts w:ascii="Times New Roman" w:eastAsia="Calibri" w:hAnsi="Times New Roman" w:cs="Times New Roman"/>
          <w:color w:val="000000"/>
          <w:sz w:val="24"/>
          <w:szCs w:val="24"/>
        </w:rPr>
        <w:fldChar w:fldCharType="begin"/>
      </w:r>
      <w:r w:rsidRPr="003440E5">
        <w:rPr>
          <w:rFonts w:ascii="Times New Roman" w:eastAsia="Calibri" w:hAnsi="Times New Roman" w:cs="Times New Roman"/>
          <w:color w:val="000000"/>
          <w:sz w:val="24"/>
          <w:szCs w:val="24"/>
        </w:rPr>
        <w:instrText xml:space="preserve"> REF _Ref134550880 \r \h  \* MERGEFORMAT </w:instrText>
      </w:r>
      <w:r w:rsidRPr="003440E5">
        <w:rPr>
          <w:rFonts w:ascii="Times New Roman" w:eastAsia="Calibri" w:hAnsi="Times New Roman" w:cs="Times New Roman"/>
          <w:color w:val="000000"/>
          <w:sz w:val="24"/>
          <w:szCs w:val="24"/>
        </w:rPr>
      </w:r>
      <w:r w:rsidRPr="003440E5">
        <w:rPr>
          <w:rFonts w:ascii="Times New Roman" w:eastAsia="Calibri" w:hAnsi="Times New Roman" w:cs="Times New Roman"/>
          <w:color w:val="000000"/>
          <w:sz w:val="24"/>
          <w:szCs w:val="24"/>
        </w:rPr>
        <w:fldChar w:fldCharType="separate"/>
      </w:r>
      <w:r w:rsidRPr="003440E5">
        <w:rPr>
          <w:rFonts w:ascii="Times New Roman" w:eastAsia="Calibri" w:hAnsi="Times New Roman" w:cs="Times New Roman"/>
          <w:color w:val="000000"/>
          <w:sz w:val="24"/>
          <w:szCs w:val="24"/>
        </w:rPr>
        <w:t>ii</w:t>
      </w:r>
      <w:r w:rsidRPr="003440E5">
        <w:rPr>
          <w:rFonts w:ascii="Times New Roman" w:eastAsia="Calibri" w:hAnsi="Times New Roman" w:cs="Times New Roman"/>
          <w:color w:val="000000"/>
          <w:sz w:val="24"/>
          <w:szCs w:val="24"/>
        </w:rPr>
        <w:fldChar w:fldCharType="end"/>
      </w:r>
      <w:r w:rsidRPr="003440E5">
        <w:rPr>
          <w:rFonts w:ascii="Times New Roman" w:eastAsia="Calibri" w:hAnsi="Times New Roman" w:cs="Times New Roman"/>
          <w:color w:val="000000"/>
          <w:sz w:val="24"/>
          <w:szCs w:val="24"/>
        </w:rPr>
        <w:t xml:space="preserve"> – </w:t>
      </w:r>
      <w:r w:rsidRPr="003440E5">
        <w:rPr>
          <w:rFonts w:ascii="Times New Roman" w:eastAsia="Calibri" w:hAnsi="Times New Roman" w:cs="Times New Roman"/>
          <w:color w:val="000000"/>
          <w:sz w:val="24"/>
          <w:szCs w:val="24"/>
        </w:rPr>
        <w:fldChar w:fldCharType="begin"/>
      </w:r>
      <w:r w:rsidRPr="003440E5">
        <w:rPr>
          <w:rFonts w:ascii="Times New Roman" w:eastAsia="Calibri" w:hAnsi="Times New Roman" w:cs="Times New Roman"/>
          <w:color w:val="000000"/>
          <w:sz w:val="24"/>
          <w:szCs w:val="24"/>
        </w:rPr>
        <w:instrText xml:space="preserve"> REF _Ref134550883 \r \h  \* MERGEFORMAT </w:instrText>
      </w:r>
      <w:r w:rsidRPr="003440E5">
        <w:rPr>
          <w:rFonts w:ascii="Times New Roman" w:eastAsia="Calibri" w:hAnsi="Times New Roman" w:cs="Times New Roman"/>
          <w:color w:val="000000"/>
          <w:sz w:val="24"/>
          <w:szCs w:val="24"/>
        </w:rPr>
      </w:r>
      <w:r w:rsidRPr="003440E5">
        <w:rPr>
          <w:rFonts w:ascii="Times New Roman" w:eastAsia="Calibri" w:hAnsi="Times New Roman" w:cs="Times New Roman"/>
          <w:color w:val="000000"/>
          <w:sz w:val="24"/>
          <w:szCs w:val="24"/>
        </w:rPr>
        <w:fldChar w:fldCharType="separate"/>
      </w:r>
      <w:r w:rsidRPr="003440E5">
        <w:rPr>
          <w:rFonts w:ascii="Times New Roman" w:eastAsia="Calibri" w:hAnsi="Times New Roman" w:cs="Times New Roman"/>
          <w:color w:val="000000"/>
          <w:sz w:val="24"/>
          <w:szCs w:val="24"/>
        </w:rPr>
        <w:t>iv</w:t>
      </w:r>
      <w:r w:rsidRPr="003440E5">
        <w:rPr>
          <w:rFonts w:ascii="Times New Roman" w:eastAsia="Calibri" w:hAnsi="Times New Roman" w:cs="Times New Roman"/>
          <w:color w:val="000000"/>
          <w:sz w:val="24"/>
          <w:szCs w:val="24"/>
        </w:rPr>
        <w:fldChar w:fldCharType="end"/>
      </w:r>
      <w:r w:rsidRPr="003440E5">
        <w:rPr>
          <w:rFonts w:ascii="Times New Roman" w:eastAsia="Calibri" w:hAnsi="Times New Roman" w:cs="Times New Roman"/>
          <w:color w:val="000000"/>
          <w:sz w:val="24"/>
          <w:szCs w:val="24"/>
        </w:rPr>
        <w:t xml:space="preserve"> de mai sus, Consiliul de Administrație are drept de subdelegare către oricare dintre membrii Consiliului de Administrație sau directorii Societății.</w:t>
      </w:r>
    </w:p>
    <w:tbl>
      <w:tblPr>
        <w:tblW w:w="4765" w:type="dxa"/>
        <w:jc w:val="center"/>
        <w:tblLayout w:type="fixed"/>
        <w:tblLook w:val="0400" w:firstRow="0" w:lastRow="0" w:firstColumn="0" w:lastColumn="0" w:noHBand="0" w:noVBand="1"/>
      </w:tblPr>
      <w:tblGrid>
        <w:gridCol w:w="1345"/>
        <w:gridCol w:w="1710"/>
        <w:gridCol w:w="1710"/>
      </w:tblGrid>
      <w:tr w:rsidR="00901DD8" w:rsidRPr="003440E5" w14:paraId="7955E526"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291AE40"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9D6A6F1"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ACF2F48"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901DD8" w:rsidRPr="003440E5" w14:paraId="57EB2325"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F44D6B7"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EEE2AAF"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1E84D52"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2B032E8" w14:textId="77777777" w:rsidR="00901DD8" w:rsidRPr="003440E5" w:rsidRDefault="00901DD8" w:rsidP="00901DD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631268B" w14:textId="77777777" w:rsidR="00362A86" w:rsidRPr="003440E5" w:rsidRDefault="00763435" w:rsidP="00873AAD">
      <w:pPr>
        <w:tabs>
          <w:tab w:val="left" w:pos="450"/>
        </w:tabs>
        <w:spacing w:before="200" w:after="200" w:line="240" w:lineRule="auto"/>
        <w:jc w:val="both"/>
        <w:rPr>
          <w:rFonts w:ascii="Times New Roman" w:eastAsia="Calibri" w:hAnsi="Times New Roman" w:cs="Times New Roman"/>
          <w:sz w:val="24"/>
          <w:szCs w:val="24"/>
        </w:rPr>
      </w:pPr>
      <w:proofErr w:type="spellStart"/>
      <w:r w:rsidRPr="003440E5">
        <w:rPr>
          <w:rFonts w:ascii="Times New Roman" w:eastAsia="DaxlinePro-Light" w:hAnsi="Times New Roman" w:cs="Times New Roman"/>
          <w:b/>
          <w:bCs/>
          <w:iCs/>
          <w:sz w:val="24"/>
          <w:szCs w:val="24"/>
          <w:lang w:val="en"/>
        </w:rPr>
        <w:lastRenderedPageBreak/>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w:t>
      </w:r>
      <w:r w:rsidRPr="003440E5">
        <w:rPr>
          <w:rFonts w:ascii="Times New Roman" w:eastAsia="DaxlinePro-Light" w:hAnsi="Times New Roman" w:cs="Times New Roman"/>
          <w:b/>
          <w:bCs/>
          <w:iCs/>
          <w:sz w:val="24"/>
          <w:szCs w:val="24"/>
          <w:lang w:val="en"/>
        </w:rPr>
        <w:t>4</w:t>
      </w:r>
      <w:r w:rsidRPr="003440E5">
        <w:rPr>
          <w:rFonts w:ascii="Times New Roman" w:eastAsia="DaxlinePro-Light" w:hAnsi="Times New Roman" w:cs="Times New Roman"/>
          <w:b/>
          <w:bCs/>
          <w:iCs/>
          <w:sz w:val="24"/>
          <w:szCs w:val="24"/>
          <w:lang w:val="en"/>
        </w:rPr>
        <w:t xml:space="preserve">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w:t>
      </w:r>
      <w:proofErr w:type="spellStart"/>
      <w:r w:rsidRPr="003440E5">
        <w:rPr>
          <w:rFonts w:ascii="Times New Roman" w:eastAsia="DaxlinePro-Light" w:hAnsi="Times New Roman" w:cs="Times New Roman"/>
          <w:b/>
          <w:bCs/>
          <w:iCs/>
          <w:sz w:val="24"/>
          <w:szCs w:val="24"/>
          <w:lang w:val="en"/>
        </w:rPr>
        <w:t>zi</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00362A86" w:rsidRPr="003440E5">
        <w:rPr>
          <w:rFonts w:ascii="Times New Roman" w:eastAsia="Calibri" w:hAnsi="Times New Roman" w:cs="Times New Roman"/>
          <w:b/>
          <w:bCs/>
          <w:color w:val="000000"/>
          <w:sz w:val="24"/>
          <w:szCs w:val="24"/>
        </w:rPr>
        <w:t>Aprobarea</w:t>
      </w:r>
      <w:r w:rsidR="00362A86" w:rsidRPr="003440E5">
        <w:rPr>
          <w:rFonts w:ascii="Times New Roman" w:eastAsia="Calibri" w:hAnsi="Times New Roman" w:cs="Times New Roman"/>
          <w:color w:val="000000"/>
          <w:sz w:val="24"/>
          <w:szCs w:val="24"/>
        </w:rPr>
        <w:t xml:space="preserve"> majorării capitalului social al Societății cu o sumă de până la 150.000.000 RON (valoare nominală) prin aport în numerar și/sau prin conversia unor creanțe împotriva Societății, astfel cum va fi decis prin decizia Consiliului de Administrație („</w:t>
      </w:r>
      <w:r w:rsidR="00362A86" w:rsidRPr="003440E5">
        <w:rPr>
          <w:rFonts w:ascii="Times New Roman" w:eastAsia="Calibri" w:hAnsi="Times New Roman" w:cs="Times New Roman"/>
          <w:b/>
          <w:bCs/>
          <w:color w:val="000000"/>
          <w:sz w:val="24"/>
          <w:szCs w:val="24"/>
        </w:rPr>
        <w:t>Majorarea Capitalului Social</w:t>
      </w:r>
      <w:r w:rsidR="00362A86" w:rsidRPr="003440E5">
        <w:rPr>
          <w:rFonts w:ascii="Times New Roman" w:eastAsia="Calibri" w:hAnsi="Times New Roman" w:cs="Times New Roman"/>
          <w:color w:val="000000"/>
          <w:sz w:val="24"/>
          <w:szCs w:val="24"/>
        </w:rPr>
        <w:t>”), prin emisiunea unui număr de până la 15.000.000 acțiuni noi cu o valoare nominală de 10 RON per acțiune și o valoare nominală totală de 150.000.000 RON („</w:t>
      </w:r>
      <w:r w:rsidR="00362A86" w:rsidRPr="003440E5">
        <w:rPr>
          <w:rFonts w:ascii="Times New Roman" w:eastAsia="Calibri" w:hAnsi="Times New Roman" w:cs="Times New Roman"/>
          <w:b/>
          <w:bCs/>
          <w:color w:val="000000"/>
          <w:sz w:val="24"/>
          <w:szCs w:val="24"/>
        </w:rPr>
        <w:t>Acțiunile Noi</w:t>
      </w:r>
      <w:r w:rsidR="00362A86" w:rsidRPr="003440E5">
        <w:rPr>
          <w:rFonts w:ascii="Times New Roman" w:eastAsia="Calibri" w:hAnsi="Times New Roman" w:cs="Times New Roman"/>
          <w:color w:val="000000"/>
          <w:sz w:val="24"/>
          <w:szCs w:val="24"/>
        </w:rPr>
        <w:t xml:space="preserve">”), după cum urmează: </w:t>
      </w:r>
    </w:p>
    <w:p w14:paraId="16A06AE1" w14:textId="77777777" w:rsidR="00362A86" w:rsidRPr="003440E5" w:rsidRDefault="00362A86" w:rsidP="0005751C">
      <w:pPr>
        <w:pStyle w:val="ListParagraph"/>
        <w:numPr>
          <w:ilvl w:val="0"/>
          <w:numId w:val="4"/>
        </w:numPr>
        <w:tabs>
          <w:tab w:val="left" w:pos="450"/>
        </w:tabs>
        <w:spacing w:after="140" w:line="280" w:lineRule="exact"/>
        <w:ind w:left="900" w:hanging="450"/>
        <w:contextualSpacing w:val="0"/>
        <w:jc w:val="both"/>
        <w:rPr>
          <w:rFonts w:ascii="Times New Roman" w:eastAsia="Calibri" w:hAnsi="Times New Roman" w:cs="Times New Roman"/>
          <w:color w:val="000000"/>
          <w:sz w:val="24"/>
          <w:szCs w:val="24"/>
        </w:rPr>
      </w:pPr>
      <w:bookmarkStart w:id="6" w:name="_Ref134610464"/>
      <w:r w:rsidRPr="003440E5">
        <w:rPr>
          <w:rFonts w:ascii="Times New Roman" w:eastAsia="Calibri" w:hAnsi="Times New Roman" w:cs="Times New Roman"/>
          <w:color w:val="000000"/>
          <w:sz w:val="24"/>
          <w:szCs w:val="24"/>
        </w:rPr>
        <w:t>Acțiunile Noi vor fi oferite spre subscriere:</w:t>
      </w:r>
      <w:bookmarkEnd w:id="6"/>
    </w:p>
    <w:p w14:paraId="2330FF0D" w14:textId="77777777" w:rsidR="00362A86" w:rsidRPr="003440E5" w:rsidRDefault="00362A86" w:rsidP="0005751C">
      <w:pPr>
        <w:pStyle w:val="ListParagraph"/>
        <w:numPr>
          <w:ilvl w:val="0"/>
          <w:numId w:val="5"/>
        </w:numPr>
        <w:tabs>
          <w:tab w:val="left" w:pos="450"/>
        </w:tabs>
        <w:spacing w:after="140" w:line="280" w:lineRule="exact"/>
        <w:ind w:left="126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în timpul primei etape, către acționarii înregistrați în registrul acționarilor Societății ținut de către Depozitarul Central S.A., cu data de înregistrare de 12 iulie 2023, respectiv de către persoanele care au dobândit, în perioada de tranzacționare a drepturilor de preferință, drepturi de preferință de la acționarii înregistrați în registrul acționarilor Societății ținut de către Depozitarul Central S.A., cu data de înregistrare de 12 iulie 2023, în măsura în care prospectul de ofertă pregătit în legătură cu Majorarea Capitalului Social va include și posibilitatea de tranzacționare a drepturilor de preferință; și</w:t>
      </w:r>
    </w:p>
    <w:p w14:paraId="29B549E0" w14:textId="77777777" w:rsidR="00362A86" w:rsidRPr="003440E5" w:rsidRDefault="00362A86" w:rsidP="0005751C">
      <w:pPr>
        <w:pStyle w:val="ListParagraph"/>
        <w:numPr>
          <w:ilvl w:val="0"/>
          <w:numId w:val="5"/>
        </w:numPr>
        <w:tabs>
          <w:tab w:val="left" w:pos="450"/>
        </w:tabs>
        <w:spacing w:after="140" w:line="280" w:lineRule="exact"/>
        <w:ind w:left="126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 xml:space="preserve">în timpul celei de-a doua etape, orice Acțiuni Noi rămase nesubscrise după prima etapă, așa cum aceasta este descrisă la punctul </w:t>
      </w:r>
      <w:r w:rsidRPr="003440E5">
        <w:rPr>
          <w:rFonts w:ascii="Times New Roman" w:eastAsia="Calibri" w:hAnsi="Times New Roman" w:cs="Times New Roman"/>
          <w:color w:val="000000"/>
          <w:sz w:val="24"/>
          <w:szCs w:val="24"/>
          <w:cs/>
        </w:rPr>
        <w:t xml:space="preserve">a) </w:t>
      </w:r>
      <w:r w:rsidRPr="003440E5">
        <w:rPr>
          <w:rFonts w:ascii="Times New Roman" w:eastAsia="Calibri" w:hAnsi="Times New Roman" w:cs="Times New Roman"/>
          <w:color w:val="000000"/>
          <w:sz w:val="24"/>
          <w:szCs w:val="24"/>
        </w:rPr>
        <w:t>de mai sus, vor fi oferite spre subscriere fie (i) publicului din România („</w:t>
      </w:r>
      <w:r w:rsidRPr="003440E5">
        <w:rPr>
          <w:rFonts w:ascii="Times New Roman" w:eastAsia="Calibri" w:hAnsi="Times New Roman" w:cs="Times New Roman"/>
          <w:b/>
          <w:bCs/>
          <w:color w:val="000000"/>
          <w:sz w:val="24"/>
          <w:szCs w:val="24"/>
        </w:rPr>
        <w:t>Ofertă Publică</w:t>
      </w:r>
      <w:r w:rsidRPr="003440E5">
        <w:rPr>
          <w:rFonts w:ascii="Times New Roman" w:eastAsia="Calibri" w:hAnsi="Times New Roman" w:cs="Times New Roman"/>
          <w:color w:val="000000"/>
          <w:sz w:val="24"/>
          <w:szCs w:val="24"/>
        </w:rPr>
        <w:t>”), și/sau (ii) în cadrul unui plasament privat adresat către anumite persoane din Uniunea Europeană în baza excepțiilor permise de la publicarea unui prospect, inclusiv cele prevăzute la articolul 1 alineat (4), literele (a) – (d) din 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w:t>
      </w:r>
      <w:r w:rsidRPr="003440E5">
        <w:rPr>
          <w:rFonts w:ascii="Times New Roman" w:eastAsia="Calibri" w:hAnsi="Times New Roman" w:cs="Times New Roman"/>
          <w:b/>
          <w:bCs/>
          <w:color w:val="000000"/>
          <w:sz w:val="24"/>
          <w:szCs w:val="24"/>
        </w:rPr>
        <w:t>Regulamentul privind Prospectul</w:t>
      </w:r>
      <w:r w:rsidRPr="003440E5">
        <w:rPr>
          <w:rFonts w:ascii="Times New Roman" w:eastAsia="Calibri" w:hAnsi="Times New Roman" w:cs="Times New Roman"/>
          <w:color w:val="000000"/>
          <w:sz w:val="24"/>
          <w:szCs w:val="24"/>
        </w:rPr>
        <w:t>”) și/sau investori cărora le pot fi adresate și direcționate asemenea plasamente private în mod legal, în conformitate cu excepțiile de la Regulamentul S („</w:t>
      </w:r>
      <w:r w:rsidRPr="003440E5">
        <w:rPr>
          <w:rFonts w:ascii="Times New Roman" w:eastAsia="Calibri" w:hAnsi="Times New Roman" w:cs="Times New Roman"/>
          <w:b/>
          <w:bCs/>
          <w:color w:val="000000"/>
          <w:sz w:val="24"/>
          <w:szCs w:val="24"/>
        </w:rPr>
        <w:t>Regulamentul S</w:t>
      </w:r>
      <w:r w:rsidRPr="003440E5">
        <w:rPr>
          <w:rFonts w:ascii="Times New Roman" w:eastAsia="Calibri" w:hAnsi="Times New Roman" w:cs="Times New Roman"/>
          <w:color w:val="000000"/>
          <w:sz w:val="24"/>
          <w:szCs w:val="24"/>
        </w:rPr>
        <w:t>”) din Legea Privind Valorile Mobiliare din 1933 din Statele Unite ale Americii („</w:t>
      </w:r>
      <w:r w:rsidRPr="003440E5">
        <w:rPr>
          <w:rFonts w:ascii="Times New Roman" w:eastAsia="Calibri" w:hAnsi="Times New Roman" w:cs="Times New Roman"/>
          <w:b/>
          <w:bCs/>
          <w:color w:val="000000"/>
          <w:sz w:val="24"/>
          <w:szCs w:val="24"/>
        </w:rPr>
        <w:t>Legea privind Valorile Mobiliare</w:t>
      </w:r>
      <w:r w:rsidRPr="003440E5">
        <w:rPr>
          <w:rFonts w:ascii="Times New Roman" w:eastAsia="Calibri" w:hAnsi="Times New Roman" w:cs="Times New Roman"/>
          <w:color w:val="000000"/>
          <w:sz w:val="24"/>
          <w:szCs w:val="24"/>
        </w:rPr>
        <w:t>”) și fără să existe o obligație de conformare cu orice alte formalități conform vreunei legi aplicabile, în măsura în care și doar dacă o investiție în Acțiunile Noi nu constituie o încălcare a oricărei legi aplicabile de către un asemenea investitor („</w:t>
      </w:r>
      <w:r w:rsidRPr="003440E5">
        <w:rPr>
          <w:rFonts w:ascii="Times New Roman" w:eastAsia="Calibri" w:hAnsi="Times New Roman" w:cs="Times New Roman"/>
          <w:b/>
          <w:bCs/>
          <w:color w:val="000000"/>
          <w:sz w:val="24"/>
          <w:szCs w:val="24"/>
        </w:rPr>
        <w:t>Plasamentul Privat</w:t>
      </w:r>
      <w:r w:rsidRPr="003440E5">
        <w:rPr>
          <w:rFonts w:ascii="Times New Roman" w:eastAsia="Calibri" w:hAnsi="Times New Roman" w:cs="Times New Roman"/>
          <w:color w:val="000000"/>
          <w:sz w:val="24"/>
          <w:szCs w:val="24"/>
        </w:rPr>
        <w:t>”), conform unei decizii adoptate de Consiliul de Administrație în acest sens.</w:t>
      </w:r>
    </w:p>
    <w:p w14:paraId="2ADFDA09" w14:textId="77777777" w:rsidR="00362A86" w:rsidRPr="003440E5" w:rsidRDefault="00362A86" w:rsidP="00362A86">
      <w:pPr>
        <w:pStyle w:val="ListParagraph"/>
        <w:tabs>
          <w:tab w:val="left" w:pos="450"/>
        </w:tabs>
        <w:spacing w:after="140" w:line="280" w:lineRule="exact"/>
        <w:ind w:left="1260"/>
        <w:jc w:val="both"/>
        <w:rPr>
          <w:rFonts w:ascii="Times New Roman" w:eastAsia="Calibri" w:hAnsi="Times New Roman" w:cs="Times New Roman"/>
          <w:color w:val="000000"/>
          <w:sz w:val="24"/>
          <w:szCs w:val="24"/>
        </w:rPr>
      </w:pPr>
    </w:p>
    <w:p w14:paraId="68BC65EE" w14:textId="77777777" w:rsidR="00362A86" w:rsidRPr="003440E5" w:rsidRDefault="00362A86" w:rsidP="0005751C">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Orice Acțiuni Noi care vor rămâne nesubscrise la finalul perioadei de subscriere aferente Ofertei Publice și/ sau Plasamentului Privat (după caz), vor fi anulate prin decizia Consiliului de Administrație prin care se constată rezultatele finale ale Majorării de Capital Social.</w:t>
      </w:r>
    </w:p>
    <w:p w14:paraId="1E9F536C" w14:textId="77777777" w:rsidR="00362A86" w:rsidRPr="003440E5" w:rsidRDefault="00362A86" w:rsidP="0005751C">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Numărul drepturilor de preferință emise va fi egal cu numărul acțiunilor emise de către Societate, așa cum este înregistrat în registrul acționarilor al Societății ținut de Depozitarul Central S.A., cu data de înregistrare de 12 iulie 2023.</w:t>
      </w:r>
    </w:p>
    <w:p w14:paraId="615028A7" w14:textId="77777777" w:rsidR="00362A86" w:rsidRPr="003440E5" w:rsidRDefault="00362A86" w:rsidP="0005751C">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lastRenderedPageBreak/>
        <w:t>Fiecare acționar înregistrat în registrul acționarilor Societății ținut de Depozitarul Central S.A. cu data de înregistrare de 12 iulie 2023, va primi un număr de drepturi de preferință egal cu numărul de acțiuni deținute.</w:t>
      </w:r>
    </w:p>
    <w:p w14:paraId="5B348760" w14:textId="77777777" w:rsidR="00362A86" w:rsidRPr="003440E5" w:rsidRDefault="00362A86" w:rsidP="0005751C">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Perioada de exercitare a drepturilor de preferință va fi de o (1) lună (după caz, după încheierea perioadei de tranzacționare a drepturilor de preferință), fiind ulterioară datei de înregistrare de 12 iulie 2023.</w:t>
      </w:r>
    </w:p>
    <w:p w14:paraId="093A5F9F" w14:textId="77777777" w:rsidR="00362A86" w:rsidRPr="003440E5" w:rsidRDefault="00362A86" w:rsidP="0005751C">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Pentru subscrierea unei Acțiuni Noi, pe durata exercitării drepturilor de preferință, o persoană trebuie să dețină 1,1796382 drepturi de preferință (după caz, cu orice rotunjiri aplicabile conform reglementărilor în vigoare, inclusiv cele elaborate de Depozitarul Central).</w:t>
      </w:r>
    </w:p>
    <w:p w14:paraId="1F72FFE6" w14:textId="77777777" w:rsidR="00362A86" w:rsidRPr="003440E5" w:rsidRDefault="00362A86" w:rsidP="0005751C">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Un acționar al Societății înregistrat în registrul acționarilor Societății ținut de Depozitarul Central S.A. la data de înregistrare de 12 iulie 2023, respectiv, dacă este cazul, o persoană care a dobândit, în perioada de tranzacționare a drepturilor de preferință, drepturi de preferință de la acționarii înregistrați în registrul acționarilor Societății ținut de către Depozitarul Central S.A., cu data de înregistrare de 12 iulie 2023, poate subscrie un număr maxim de Acțiuni Noi calculat prin împărțirea numărului de drepturi de preferință deținute de respectivul acționar la numărul drepturilor de preferință necesare pentru a subscrie o Acțiune Nouă (1,1796382) (după caz, cu orice rotunjiri aplicabile conform reglementărilor în vigoare, inclusiv cele elaborate de Depozitarul Central).</w:t>
      </w:r>
    </w:p>
    <w:p w14:paraId="19CFE9AE" w14:textId="77777777" w:rsidR="00362A86" w:rsidRPr="003440E5" w:rsidRDefault="00362A86" w:rsidP="0005751C">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În cazul în care numărul maxim de acțiuni care pot fi subscrise pe parcursul perioadei de exercitare a drepturilor de preferință (rezultând prin aplicarea calculului de mai sus) nu este un număr natural, numărul maxim de acțiuni care pot fi efectiv subscrise va fi rotunjit în jos la următorul număr natural inferior.</w:t>
      </w:r>
    </w:p>
    <w:p w14:paraId="342B234E" w14:textId="77777777" w:rsidR="00873AAD" w:rsidRPr="003440E5" w:rsidRDefault="00362A86" w:rsidP="0005751C">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Detalii cu privire la procedura de subscriere, perioada de subscriere, prețul de subscriere, procedura și metoda de plată, validarea subscrierii, formularul de subscriere etc. cu privire la Acțiunile Noi vor fi incluse în prospectul care va fi aprobat de Autoritatea de Supraveghere Financiară în legătură cu Majorarea Capitalului Social.</w:t>
      </w:r>
    </w:p>
    <w:p w14:paraId="7DA14F39" w14:textId="3418BD83" w:rsidR="00763435" w:rsidRPr="003440E5" w:rsidRDefault="00362A86" w:rsidP="0005751C">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Majorarea de Capital are drept scop obținerea de fonduri pentru finanțarea activității curente a Societății și a companiilor parte din holding, respectiv obținerea de finanțare pentru proiectele în derulare și/sau proiecte noi.</w:t>
      </w:r>
      <w:r w:rsidR="00763435"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763435" w:rsidRPr="003440E5" w14:paraId="33FA837F"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D4B69EA"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12B1EC2"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E47CFC4"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763435" w:rsidRPr="003440E5" w14:paraId="7AC6432C"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C936B31"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E83F84A"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7D8FF49"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30BDCE8" w14:textId="77777777" w:rsidR="00763435" w:rsidRPr="003440E5" w:rsidRDefault="00763435" w:rsidP="007634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9273FAA" w14:textId="3C647C09" w:rsidR="00873AAD" w:rsidRPr="003440E5" w:rsidRDefault="00873AAD" w:rsidP="0074056A">
      <w:pPr>
        <w:keepNext/>
        <w:keepLines/>
        <w:tabs>
          <w:tab w:val="left" w:pos="450"/>
        </w:tabs>
        <w:spacing w:before="200" w:after="200" w:line="240" w:lineRule="auto"/>
        <w:jc w:val="both"/>
        <w:rPr>
          <w:rFonts w:ascii="Times New Roman" w:eastAsia="Calibri" w:hAnsi="Times New Roman" w:cs="Times New Roman"/>
          <w:color w:val="000000"/>
          <w:sz w:val="24"/>
          <w:szCs w:val="24"/>
        </w:rPr>
      </w:pPr>
      <w:proofErr w:type="spellStart"/>
      <w:r w:rsidRPr="003440E5">
        <w:rPr>
          <w:rFonts w:ascii="Times New Roman" w:eastAsia="DaxlinePro-Light" w:hAnsi="Times New Roman" w:cs="Times New Roman"/>
          <w:b/>
          <w:bCs/>
          <w:iCs/>
          <w:sz w:val="24"/>
          <w:szCs w:val="24"/>
          <w:lang w:val="en"/>
        </w:rPr>
        <w:lastRenderedPageBreak/>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w:t>
      </w:r>
      <w:r w:rsidRPr="003440E5">
        <w:rPr>
          <w:rFonts w:ascii="Times New Roman" w:eastAsia="DaxlinePro-Light" w:hAnsi="Times New Roman" w:cs="Times New Roman"/>
          <w:b/>
          <w:bCs/>
          <w:iCs/>
          <w:sz w:val="24"/>
          <w:szCs w:val="24"/>
          <w:lang w:val="en"/>
        </w:rPr>
        <w:t>5</w:t>
      </w:r>
      <w:r w:rsidRPr="003440E5">
        <w:rPr>
          <w:rFonts w:ascii="Times New Roman" w:eastAsia="DaxlinePro-Light" w:hAnsi="Times New Roman" w:cs="Times New Roman"/>
          <w:b/>
          <w:bCs/>
          <w:iCs/>
          <w:sz w:val="24"/>
          <w:szCs w:val="24"/>
          <w:lang w:val="en"/>
        </w:rPr>
        <w:t xml:space="preserve">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w:t>
      </w:r>
      <w:proofErr w:type="spellStart"/>
      <w:r w:rsidRPr="003440E5">
        <w:rPr>
          <w:rFonts w:ascii="Times New Roman" w:eastAsia="DaxlinePro-Light" w:hAnsi="Times New Roman" w:cs="Times New Roman"/>
          <w:b/>
          <w:bCs/>
          <w:iCs/>
          <w:sz w:val="24"/>
          <w:szCs w:val="24"/>
          <w:lang w:val="en"/>
        </w:rPr>
        <w:t>zi</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00722796" w:rsidRPr="003440E5">
        <w:rPr>
          <w:rFonts w:ascii="Times New Roman" w:eastAsia="Calibri" w:hAnsi="Times New Roman" w:cs="Times New Roman"/>
          <w:b/>
          <w:bCs/>
          <w:color w:val="000000"/>
          <w:sz w:val="24"/>
          <w:szCs w:val="24"/>
        </w:rPr>
        <w:t>Aprobarea</w:t>
      </w:r>
      <w:r w:rsidR="00722796" w:rsidRPr="003440E5">
        <w:rPr>
          <w:rFonts w:ascii="Times New Roman" w:eastAsia="Calibri" w:hAnsi="Times New Roman" w:cs="Times New Roman"/>
          <w:color w:val="000000"/>
          <w:sz w:val="24"/>
          <w:szCs w:val="24"/>
        </w:rPr>
        <w:t xml:space="preserve"> admiterii la tranzacționare </w:t>
      </w:r>
      <w:proofErr w:type="gramStart"/>
      <w:r w:rsidR="00722796" w:rsidRPr="003440E5">
        <w:rPr>
          <w:rFonts w:ascii="Times New Roman" w:eastAsia="Calibri" w:hAnsi="Times New Roman" w:cs="Times New Roman"/>
          <w:color w:val="000000"/>
          <w:sz w:val="24"/>
          <w:szCs w:val="24"/>
        </w:rPr>
        <w:t>a</w:t>
      </w:r>
      <w:proofErr w:type="gramEnd"/>
      <w:r w:rsidR="00722796" w:rsidRPr="003440E5">
        <w:rPr>
          <w:rFonts w:ascii="Times New Roman" w:eastAsia="Calibri" w:hAnsi="Times New Roman" w:cs="Times New Roman"/>
          <w:color w:val="000000"/>
          <w:sz w:val="24"/>
          <w:szCs w:val="24"/>
        </w:rPr>
        <w:t xml:space="preserve"> acțiunilor Societății pe piața reglementată administrată de Bursa de Valori București S.A. („</w:t>
      </w:r>
      <w:r w:rsidR="00722796" w:rsidRPr="003440E5">
        <w:rPr>
          <w:rFonts w:ascii="Times New Roman" w:eastAsia="Calibri" w:hAnsi="Times New Roman" w:cs="Times New Roman"/>
          <w:b/>
          <w:bCs/>
          <w:color w:val="000000"/>
          <w:sz w:val="24"/>
          <w:szCs w:val="24"/>
        </w:rPr>
        <w:t>Listarea pe Piața Reglementată</w:t>
      </w:r>
      <w:r w:rsidR="00722796"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873AAD" w:rsidRPr="003440E5" w14:paraId="0C737DF1"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8585C68" w14:textId="77777777" w:rsidR="00873AAD" w:rsidRPr="003440E5" w:rsidRDefault="00873AAD" w:rsidP="0074056A">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0DDE511" w14:textId="77777777" w:rsidR="00873AAD" w:rsidRPr="003440E5" w:rsidRDefault="00873AAD" w:rsidP="0074056A">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BA96423" w14:textId="77777777" w:rsidR="00873AAD" w:rsidRPr="003440E5" w:rsidRDefault="00873AAD" w:rsidP="0074056A">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873AAD" w:rsidRPr="003440E5" w14:paraId="5E5C2D42"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5B342B8" w14:textId="77777777" w:rsidR="00873AAD" w:rsidRPr="003440E5" w:rsidRDefault="00873AAD"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9136137" w14:textId="77777777" w:rsidR="00873AAD" w:rsidRPr="003440E5" w:rsidRDefault="00873AAD"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78542B0" w14:textId="77777777" w:rsidR="00873AAD" w:rsidRPr="003440E5" w:rsidRDefault="00873AAD"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11411638" w14:textId="77777777" w:rsidR="00873AAD" w:rsidRPr="003440E5" w:rsidRDefault="00873AAD" w:rsidP="00873AAD">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CEBD00D" w14:textId="77777777" w:rsidR="00B76412" w:rsidRPr="003440E5" w:rsidRDefault="004C6DC9" w:rsidP="00045872">
      <w:pPr>
        <w:tabs>
          <w:tab w:val="left" w:pos="450"/>
        </w:tabs>
        <w:spacing w:before="200" w:after="200" w:line="240" w:lineRule="auto"/>
        <w:jc w:val="both"/>
        <w:rPr>
          <w:rFonts w:ascii="Times New Roman" w:eastAsia="Calibri" w:hAnsi="Times New Roman" w:cs="Times New Roman"/>
          <w:color w:val="000000"/>
          <w:sz w:val="24"/>
          <w:szCs w:val="24"/>
        </w:rPr>
      </w:pPr>
      <w:proofErr w:type="spellStart"/>
      <w:r w:rsidRPr="003440E5">
        <w:rPr>
          <w:rFonts w:ascii="Times New Roman" w:eastAsia="DaxlinePro-Light" w:hAnsi="Times New Roman" w:cs="Times New Roman"/>
          <w:b/>
          <w:bCs/>
          <w:iCs/>
          <w:sz w:val="24"/>
          <w:szCs w:val="24"/>
          <w:lang w:val="en"/>
        </w:rPr>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w:t>
      </w:r>
      <w:r w:rsidRPr="003440E5">
        <w:rPr>
          <w:rFonts w:ascii="Times New Roman" w:eastAsia="DaxlinePro-Light" w:hAnsi="Times New Roman" w:cs="Times New Roman"/>
          <w:b/>
          <w:bCs/>
          <w:iCs/>
          <w:sz w:val="24"/>
          <w:szCs w:val="24"/>
          <w:lang w:val="en"/>
        </w:rPr>
        <w:t>6</w:t>
      </w:r>
      <w:r w:rsidRPr="003440E5">
        <w:rPr>
          <w:rFonts w:ascii="Times New Roman" w:eastAsia="DaxlinePro-Light" w:hAnsi="Times New Roman" w:cs="Times New Roman"/>
          <w:b/>
          <w:bCs/>
          <w:iCs/>
          <w:sz w:val="24"/>
          <w:szCs w:val="24"/>
          <w:lang w:val="en"/>
        </w:rPr>
        <w:t xml:space="preserve">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w:t>
      </w:r>
      <w:proofErr w:type="spellStart"/>
      <w:r w:rsidRPr="003440E5">
        <w:rPr>
          <w:rFonts w:ascii="Times New Roman" w:eastAsia="DaxlinePro-Light" w:hAnsi="Times New Roman" w:cs="Times New Roman"/>
          <w:b/>
          <w:bCs/>
          <w:iCs/>
          <w:sz w:val="24"/>
          <w:szCs w:val="24"/>
          <w:lang w:val="en"/>
        </w:rPr>
        <w:t>zi</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00B76412" w:rsidRPr="003440E5">
        <w:rPr>
          <w:rFonts w:ascii="Times New Roman" w:eastAsia="Calibri" w:hAnsi="Times New Roman" w:cs="Times New Roman"/>
          <w:b/>
          <w:bCs/>
          <w:color w:val="000000"/>
          <w:sz w:val="24"/>
          <w:szCs w:val="24"/>
        </w:rPr>
        <w:t>Aprobarea</w:t>
      </w:r>
      <w:r w:rsidR="00B76412" w:rsidRPr="003440E5">
        <w:rPr>
          <w:rFonts w:ascii="Times New Roman" w:eastAsia="Calibri" w:hAnsi="Times New Roman" w:cs="Times New Roman"/>
          <w:color w:val="000000"/>
          <w:sz w:val="24"/>
          <w:szCs w:val="24"/>
        </w:rPr>
        <w:t xml:space="preserve"> împuternicirii Consiliului de Administrație să emită orice hotărâre și să îndeplinească toate actele și faptele juridice necesare, utile și/sau oportune pentru aducerea la îndeplinire a hotărârilor ce urmează să fie adoptate de către AGEA cu privire la Majorarea Capitalului Social și Listarea pe Piața Reglementată, inclusiv cu privire la următoarele aspecte:</w:t>
      </w:r>
    </w:p>
    <w:p w14:paraId="3D995C90" w14:textId="77777777" w:rsidR="00B76412" w:rsidRPr="003440E5" w:rsidRDefault="00B76412" w:rsidP="0005751C">
      <w:pPr>
        <w:pStyle w:val="ListParagraph"/>
        <w:numPr>
          <w:ilvl w:val="0"/>
          <w:numId w:val="6"/>
        </w:numPr>
        <w:tabs>
          <w:tab w:val="left" w:pos="450"/>
        </w:tabs>
        <w:spacing w:before="200" w:after="200" w:line="240" w:lineRule="auto"/>
        <w:ind w:left="90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stabilirea structurii și duratei Majorării de Capital Social, negocierea precum și stabilirea și aprobarea prețului de subscriere în cadrul Majorării de Capital Social (în conformitate cu condițiile pieței, precum și aprobarea celorlalți termeni finali și condiții ale Majorării de Capital Social), selectarea intermediarilor pentru Majorarea Capitalului Social și, respectiv, Listarea pe Piața Reglementată, asigurarea redactării și publicării oricărui prospect de ofertă, document de ofertă, precum și negocierea, aprobarea și semnarea oricăror acte ce au legătură cu Majorarea de Capital Social și Listarea pe Piața Reglementată, după caz, negocierea și semnarea oricăror contracte cu intermediari, consultanți, experți contabili și evaluatori, îndeplinirea oricăror acte și fapte juridice necesare, utile sau oportune în legătură cu cele de mai sus;</w:t>
      </w:r>
    </w:p>
    <w:p w14:paraId="3F80D1FC" w14:textId="77777777" w:rsidR="00B76412" w:rsidRPr="003440E5" w:rsidRDefault="00B76412" w:rsidP="0005751C">
      <w:pPr>
        <w:pStyle w:val="ListParagraph"/>
        <w:numPr>
          <w:ilvl w:val="0"/>
          <w:numId w:val="6"/>
        </w:numPr>
        <w:tabs>
          <w:tab w:val="left" w:pos="450"/>
        </w:tabs>
        <w:spacing w:before="200" w:after="200" w:line="240" w:lineRule="auto"/>
        <w:ind w:left="90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stabilirea datei, structurii și condițiilor admiterii la tranzacționare a acțiunilor Societății pe piața reglementată administrată de Bursa de Valori București S.A.;</w:t>
      </w:r>
    </w:p>
    <w:p w14:paraId="4C0489F0" w14:textId="77777777" w:rsidR="00B76412" w:rsidRPr="003440E5" w:rsidRDefault="00B76412" w:rsidP="0005751C">
      <w:pPr>
        <w:pStyle w:val="ListParagraph"/>
        <w:numPr>
          <w:ilvl w:val="0"/>
          <w:numId w:val="6"/>
        </w:numPr>
        <w:tabs>
          <w:tab w:val="left" w:pos="450"/>
        </w:tabs>
        <w:spacing w:before="200" w:after="200" w:line="240" w:lineRule="auto"/>
        <w:ind w:left="90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aprobarea oricăror contracte privind Majorarea Capitalului Social și Listarea pe Piața Reglementată sau orice alte aranjamente, angajamente, prospecte de ofertă, documente de ofertă, orice contracte de subscriere, vânzare, stabilizare, agenție, de consultanță, certificate, declarații, registre, notificări, acte adiționale, rapoarte de evaluare și orice alte acte și documente necesare, să îndeplinească orice formalități și să autorizeze și/sau să execute orice alte acțiuni necesare pentru a da efecte depline Majorării de Capital Social și Listării pe Piața Reglementată (inclusiv actualizarea Actului Constitutiv al Societății);</w:t>
      </w:r>
    </w:p>
    <w:p w14:paraId="3ED68557" w14:textId="77777777" w:rsidR="00A47162" w:rsidRPr="003440E5" w:rsidRDefault="00B76412" w:rsidP="0005751C">
      <w:pPr>
        <w:pStyle w:val="ListParagraph"/>
        <w:numPr>
          <w:ilvl w:val="0"/>
          <w:numId w:val="6"/>
        </w:numPr>
        <w:tabs>
          <w:tab w:val="left" w:pos="450"/>
        </w:tabs>
        <w:spacing w:before="200" w:after="200" w:line="240" w:lineRule="auto"/>
        <w:ind w:left="90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împuternicirea reprezentanților Societății pentru a semna orice astfel de documente, a îndeplini orice astfel de formalități și a îndeplini orice astfel de acțiuni; și</w:t>
      </w:r>
    </w:p>
    <w:p w14:paraId="2C05D9DE" w14:textId="607D37E7" w:rsidR="004C6DC9" w:rsidRPr="003440E5" w:rsidRDefault="00B76412" w:rsidP="0005751C">
      <w:pPr>
        <w:pStyle w:val="ListParagraph"/>
        <w:numPr>
          <w:ilvl w:val="0"/>
          <w:numId w:val="6"/>
        </w:numPr>
        <w:tabs>
          <w:tab w:val="left" w:pos="450"/>
        </w:tabs>
        <w:spacing w:before="200" w:after="200" w:line="240" w:lineRule="auto"/>
        <w:ind w:left="90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reprezentarea Societății în fața oricăror autorități și instituții competente (cum ar fi Oficiul Registrului Comerțului, Autoritatea de Supraveghere Financiară, Bursa de Valori București, Depozitarul Central S.A.) în legătură cu Majorarea Capitalului Social și Listarea pe Piața Reglementată.</w:t>
      </w:r>
    </w:p>
    <w:p w14:paraId="7783DCB5" w14:textId="77777777" w:rsidR="004C6DC9" w:rsidRPr="003440E5" w:rsidRDefault="004C6DC9" w:rsidP="004C6DC9">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4C6DC9" w:rsidRPr="003440E5" w14:paraId="2DB2765B"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8B6FB66" w14:textId="77777777" w:rsidR="004C6DC9" w:rsidRPr="003440E5" w:rsidRDefault="004C6DC9"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lastRenderedPageBreak/>
              <w:t> PENTRU</w:t>
            </w:r>
          </w:p>
        </w:tc>
        <w:tc>
          <w:tcPr>
            <w:tcW w:w="1710" w:type="dxa"/>
            <w:tcBorders>
              <w:top w:val="single" w:sz="4" w:space="0" w:color="000000"/>
              <w:left w:val="nil"/>
              <w:bottom w:val="single" w:sz="4" w:space="0" w:color="000000"/>
              <w:right w:val="single" w:sz="4" w:space="0" w:color="000000"/>
            </w:tcBorders>
            <w:vAlign w:val="bottom"/>
          </w:tcPr>
          <w:p w14:paraId="3ED74468" w14:textId="77777777" w:rsidR="004C6DC9" w:rsidRPr="003440E5" w:rsidRDefault="004C6DC9"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3682724" w14:textId="77777777" w:rsidR="004C6DC9" w:rsidRPr="003440E5" w:rsidRDefault="004C6DC9"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4C6DC9" w:rsidRPr="003440E5" w14:paraId="3EC5FBCF"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2735893" w14:textId="77777777" w:rsidR="004C6DC9" w:rsidRPr="003440E5" w:rsidRDefault="004C6DC9"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E19DF3D" w14:textId="77777777" w:rsidR="004C6DC9" w:rsidRPr="003440E5" w:rsidRDefault="004C6DC9"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195E6DA" w14:textId="77777777" w:rsidR="004C6DC9" w:rsidRPr="003440E5" w:rsidRDefault="004C6DC9"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4C59FA08" w14:textId="77777777" w:rsidR="004C6DC9" w:rsidRPr="003440E5" w:rsidRDefault="004C6DC9" w:rsidP="004C6DC9">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EDE1B8E" w14:textId="77777777" w:rsidR="0028124E" w:rsidRPr="003440E5" w:rsidRDefault="00045872" w:rsidP="0028124E">
      <w:pPr>
        <w:tabs>
          <w:tab w:val="left" w:pos="450"/>
        </w:tabs>
        <w:spacing w:before="200" w:after="200" w:line="240" w:lineRule="auto"/>
        <w:jc w:val="both"/>
        <w:rPr>
          <w:rFonts w:ascii="Times New Roman" w:eastAsia="Calibri" w:hAnsi="Times New Roman" w:cs="Times New Roman"/>
          <w:sz w:val="24"/>
          <w:szCs w:val="24"/>
        </w:rPr>
      </w:pPr>
      <w:proofErr w:type="spellStart"/>
      <w:r w:rsidRPr="003440E5">
        <w:rPr>
          <w:rFonts w:ascii="Times New Roman" w:eastAsia="DaxlinePro-Light" w:hAnsi="Times New Roman" w:cs="Times New Roman"/>
          <w:b/>
          <w:bCs/>
          <w:iCs/>
          <w:sz w:val="24"/>
          <w:szCs w:val="24"/>
          <w:lang w:val="en"/>
        </w:rPr>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w:t>
      </w:r>
      <w:r w:rsidRPr="003440E5">
        <w:rPr>
          <w:rFonts w:ascii="Times New Roman" w:eastAsia="DaxlinePro-Light" w:hAnsi="Times New Roman" w:cs="Times New Roman"/>
          <w:b/>
          <w:bCs/>
          <w:iCs/>
          <w:sz w:val="24"/>
          <w:szCs w:val="24"/>
          <w:lang w:val="en"/>
        </w:rPr>
        <w:t>7</w:t>
      </w:r>
      <w:r w:rsidRPr="003440E5">
        <w:rPr>
          <w:rFonts w:ascii="Times New Roman" w:eastAsia="DaxlinePro-Light" w:hAnsi="Times New Roman" w:cs="Times New Roman"/>
          <w:b/>
          <w:bCs/>
          <w:iCs/>
          <w:sz w:val="24"/>
          <w:szCs w:val="24"/>
          <w:lang w:val="en"/>
        </w:rPr>
        <w:t xml:space="preserve">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w:t>
      </w:r>
      <w:proofErr w:type="spellStart"/>
      <w:r w:rsidRPr="003440E5">
        <w:rPr>
          <w:rFonts w:ascii="Times New Roman" w:eastAsia="DaxlinePro-Light" w:hAnsi="Times New Roman" w:cs="Times New Roman"/>
          <w:b/>
          <w:bCs/>
          <w:iCs/>
          <w:sz w:val="24"/>
          <w:szCs w:val="24"/>
          <w:lang w:val="en"/>
        </w:rPr>
        <w:t>zi</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0028124E" w:rsidRPr="003440E5">
        <w:rPr>
          <w:rFonts w:ascii="Times New Roman" w:eastAsia="Calibri" w:hAnsi="Times New Roman" w:cs="Times New Roman"/>
          <w:b/>
          <w:bCs/>
          <w:sz w:val="24"/>
          <w:szCs w:val="24"/>
        </w:rPr>
        <w:t xml:space="preserve">Aprobarea </w:t>
      </w:r>
      <w:r w:rsidR="0028124E" w:rsidRPr="003440E5">
        <w:rPr>
          <w:rFonts w:ascii="Times New Roman" w:eastAsia="Calibri" w:hAnsi="Times New Roman" w:cs="Times New Roman"/>
          <w:sz w:val="24"/>
          <w:szCs w:val="24"/>
        </w:rPr>
        <w:t>datei de:</w:t>
      </w:r>
    </w:p>
    <w:p w14:paraId="49D3EC01" w14:textId="77777777" w:rsidR="0028124E" w:rsidRPr="003440E5" w:rsidRDefault="0028124E" w:rsidP="0005751C">
      <w:pPr>
        <w:pStyle w:val="ListParagraph"/>
        <w:numPr>
          <w:ilvl w:val="0"/>
          <w:numId w:val="7"/>
        </w:numPr>
        <w:tabs>
          <w:tab w:val="left" w:pos="450"/>
        </w:tabs>
        <w:spacing w:before="200" w:after="200" w:line="240" w:lineRule="auto"/>
        <w:ind w:left="810"/>
        <w:contextualSpacing w:val="0"/>
        <w:jc w:val="both"/>
        <w:rPr>
          <w:rFonts w:ascii="Times New Roman" w:eastAsia="Calibri" w:hAnsi="Times New Roman" w:cs="Times New Roman"/>
          <w:sz w:val="24"/>
          <w:szCs w:val="24"/>
        </w:rPr>
      </w:pPr>
      <w:r w:rsidRPr="003440E5">
        <w:rPr>
          <w:rFonts w:ascii="Times New Roman" w:eastAsia="Calibri" w:hAnsi="Times New Roman" w:cs="Times New Roman"/>
          <w:sz w:val="24"/>
          <w:szCs w:val="24"/>
        </w:rPr>
        <w:t>12 iulie 2023 ca dată de înregistrare pentru identificarea acționarilor asupra cărora se răsfrâng efectele hotărârilor adoptate de către AGEA, în conformitate cu prevederile art. 87 alin. (1) din Legea nr. 24/2017;</w:t>
      </w:r>
    </w:p>
    <w:p w14:paraId="6211BEE6" w14:textId="77777777" w:rsidR="0028124E" w:rsidRPr="003440E5" w:rsidRDefault="0028124E" w:rsidP="0005751C">
      <w:pPr>
        <w:pStyle w:val="ListParagraph"/>
        <w:numPr>
          <w:ilvl w:val="1"/>
          <w:numId w:val="7"/>
        </w:numPr>
        <w:tabs>
          <w:tab w:val="left" w:pos="450"/>
        </w:tabs>
        <w:spacing w:before="200" w:after="200" w:line="240" w:lineRule="auto"/>
        <w:ind w:left="810"/>
        <w:contextualSpacing w:val="0"/>
        <w:jc w:val="both"/>
        <w:rPr>
          <w:rFonts w:ascii="Times New Roman" w:eastAsia="Calibri" w:hAnsi="Times New Roman" w:cs="Times New Roman"/>
          <w:sz w:val="24"/>
          <w:szCs w:val="24"/>
        </w:rPr>
      </w:pPr>
      <w:r w:rsidRPr="003440E5">
        <w:rPr>
          <w:rFonts w:ascii="Times New Roman" w:eastAsia="Calibri" w:hAnsi="Times New Roman" w:cs="Times New Roman"/>
          <w:sz w:val="24"/>
          <w:szCs w:val="24"/>
        </w:rPr>
        <w:t xml:space="preserve">11 iulie 2023 ca “ex-date” calculată în conformitate cu prevederile art. 2 alin. (2) lit. (l) din Regulamentul nr. 5/2018; </w:t>
      </w:r>
    </w:p>
    <w:p w14:paraId="4FDDB808" w14:textId="77777777" w:rsidR="0028124E" w:rsidRPr="003440E5" w:rsidRDefault="0028124E" w:rsidP="0005751C">
      <w:pPr>
        <w:pStyle w:val="ListParagraph"/>
        <w:numPr>
          <w:ilvl w:val="1"/>
          <w:numId w:val="7"/>
        </w:numPr>
        <w:tabs>
          <w:tab w:val="left" w:pos="450"/>
        </w:tabs>
        <w:spacing w:before="200" w:after="200" w:line="240" w:lineRule="auto"/>
        <w:ind w:left="810"/>
        <w:contextualSpacing w:val="0"/>
        <w:jc w:val="both"/>
        <w:rPr>
          <w:rFonts w:ascii="Times New Roman" w:eastAsia="Calibri" w:hAnsi="Times New Roman" w:cs="Times New Roman"/>
          <w:sz w:val="24"/>
          <w:szCs w:val="24"/>
        </w:rPr>
      </w:pPr>
      <w:r w:rsidRPr="003440E5">
        <w:rPr>
          <w:rFonts w:ascii="Times New Roman" w:eastAsia="Calibri" w:hAnsi="Times New Roman" w:cs="Times New Roman"/>
          <w:sz w:val="24"/>
          <w:szCs w:val="24"/>
        </w:rPr>
        <w:t>10 iulie 2023 ca data participării garantate, în conformitate cu prevederile art. 2 alin. (2) litera j) din Regulamentul nr. 5/2018; și</w:t>
      </w:r>
    </w:p>
    <w:p w14:paraId="44049A45" w14:textId="30448637" w:rsidR="00045872" w:rsidRPr="003440E5" w:rsidRDefault="0028124E" w:rsidP="0005751C">
      <w:pPr>
        <w:pStyle w:val="ListParagraph"/>
        <w:numPr>
          <w:ilvl w:val="1"/>
          <w:numId w:val="7"/>
        </w:numPr>
        <w:tabs>
          <w:tab w:val="left" w:pos="450"/>
        </w:tabs>
        <w:spacing w:before="200" w:after="200" w:line="240" w:lineRule="auto"/>
        <w:ind w:left="810"/>
        <w:contextualSpacing w:val="0"/>
        <w:jc w:val="both"/>
        <w:rPr>
          <w:rFonts w:ascii="Times New Roman" w:eastAsia="Calibri" w:hAnsi="Times New Roman" w:cs="Times New Roman"/>
          <w:sz w:val="24"/>
          <w:szCs w:val="24"/>
        </w:rPr>
      </w:pPr>
      <w:r w:rsidRPr="003440E5">
        <w:rPr>
          <w:rFonts w:ascii="Times New Roman" w:eastAsia="Calibri" w:hAnsi="Times New Roman" w:cs="Times New Roman"/>
          <w:sz w:val="24"/>
          <w:szCs w:val="24"/>
        </w:rPr>
        <w:t>13 iulie 2023 ca data plății calculată în conformitate cu prevederile art. 2 alin. (2) litera h) și ale art. 178 din Regulamentul nr. 5/2018.</w:t>
      </w:r>
    </w:p>
    <w:tbl>
      <w:tblPr>
        <w:tblW w:w="4765" w:type="dxa"/>
        <w:jc w:val="center"/>
        <w:tblLayout w:type="fixed"/>
        <w:tblLook w:val="0400" w:firstRow="0" w:lastRow="0" w:firstColumn="0" w:lastColumn="0" w:noHBand="0" w:noVBand="1"/>
      </w:tblPr>
      <w:tblGrid>
        <w:gridCol w:w="1345"/>
        <w:gridCol w:w="1710"/>
        <w:gridCol w:w="1710"/>
      </w:tblGrid>
      <w:tr w:rsidR="00045872" w:rsidRPr="003440E5" w14:paraId="3DB72178"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F9F19D6" w14:textId="77777777" w:rsidR="00045872" w:rsidRPr="003440E5" w:rsidRDefault="00045872"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5AF1F9B" w14:textId="77777777" w:rsidR="00045872" w:rsidRPr="003440E5" w:rsidRDefault="00045872"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A5C3055" w14:textId="77777777" w:rsidR="00045872" w:rsidRPr="003440E5" w:rsidRDefault="00045872"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045872" w:rsidRPr="003440E5" w14:paraId="57C129A6"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58BC459" w14:textId="77777777" w:rsidR="00045872" w:rsidRPr="003440E5" w:rsidRDefault="00045872"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DF8564F" w14:textId="77777777" w:rsidR="00045872" w:rsidRPr="003440E5" w:rsidRDefault="00045872"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B13F595" w14:textId="77777777" w:rsidR="00045872" w:rsidRPr="003440E5" w:rsidRDefault="00045872"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8679AF3" w14:textId="77777777" w:rsidR="00045872" w:rsidRPr="003440E5" w:rsidRDefault="00045872" w:rsidP="0004587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9E06856" w14:textId="704F0AE9" w:rsidR="0028124E" w:rsidRPr="003440E5" w:rsidRDefault="0028124E" w:rsidP="00345C3F">
      <w:pPr>
        <w:tabs>
          <w:tab w:val="left" w:pos="450"/>
        </w:tabs>
        <w:spacing w:before="200" w:after="200" w:line="240" w:lineRule="auto"/>
        <w:jc w:val="both"/>
        <w:rPr>
          <w:rFonts w:ascii="Times New Roman" w:eastAsia="Calibri" w:hAnsi="Times New Roman" w:cs="Times New Roman"/>
          <w:sz w:val="24"/>
          <w:szCs w:val="24"/>
        </w:rPr>
      </w:pPr>
      <w:proofErr w:type="spellStart"/>
      <w:r w:rsidRPr="003440E5">
        <w:rPr>
          <w:rFonts w:ascii="Times New Roman" w:eastAsia="DaxlinePro-Light" w:hAnsi="Times New Roman" w:cs="Times New Roman"/>
          <w:b/>
          <w:bCs/>
          <w:iCs/>
          <w:sz w:val="24"/>
          <w:szCs w:val="24"/>
          <w:lang w:val="en"/>
        </w:rPr>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w:t>
      </w:r>
      <w:r w:rsidRPr="003440E5">
        <w:rPr>
          <w:rFonts w:ascii="Times New Roman" w:eastAsia="DaxlinePro-Light" w:hAnsi="Times New Roman" w:cs="Times New Roman"/>
          <w:b/>
          <w:bCs/>
          <w:iCs/>
          <w:sz w:val="24"/>
          <w:szCs w:val="24"/>
          <w:lang w:val="en"/>
        </w:rPr>
        <w:t>8</w:t>
      </w:r>
      <w:r w:rsidRPr="003440E5">
        <w:rPr>
          <w:rFonts w:ascii="Times New Roman" w:eastAsia="DaxlinePro-Light" w:hAnsi="Times New Roman" w:cs="Times New Roman"/>
          <w:b/>
          <w:bCs/>
          <w:iCs/>
          <w:sz w:val="24"/>
          <w:szCs w:val="24"/>
          <w:lang w:val="en"/>
        </w:rPr>
        <w:t xml:space="preserve">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w:t>
      </w:r>
      <w:proofErr w:type="spellStart"/>
      <w:r w:rsidRPr="003440E5">
        <w:rPr>
          <w:rFonts w:ascii="Times New Roman" w:eastAsia="DaxlinePro-Light" w:hAnsi="Times New Roman" w:cs="Times New Roman"/>
          <w:b/>
          <w:bCs/>
          <w:iCs/>
          <w:sz w:val="24"/>
          <w:szCs w:val="24"/>
          <w:lang w:val="en"/>
        </w:rPr>
        <w:t>zi</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00345C3F" w:rsidRPr="003440E5">
        <w:rPr>
          <w:rFonts w:ascii="Times New Roman" w:eastAsia="Calibri" w:hAnsi="Times New Roman" w:cs="Times New Roman"/>
          <w:b/>
          <w:bCs/>
          <w:color w:val="000000"/>
          <w:sz w:val="24"/>
          <w:szCs w:val="24"/>
        </w:rPr>
        <w:t xml:space="preserve">Aprobarea </w:t>
      </w:r>
      <w:r w:rsidR="00345C3F" w:rsidRPr="003440E5">
        <w:rPr>
          <w:rFonts w:ascii="Times New Roman" w:eastAsia="Calibri" w:hAnsi="Times New Roman" w:cs="Times New Roman"/>
          <w:color w:val="000000"/>
          <w:sz w:val="24"/>
          <w:szCs w:val="24"/>
        </w:rPr>
        <w:t>împuternicirii directorului general al Societății, Ioan-Adrian Bindea, pentru semnarea în numele acționarilor a hotărârii AGEA,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sidRPr="003440E5">
        <w:rPr>
          <w:rFonts w:ascii="Times New Roman" w:eastAsia="Calibri" w:hAnsi="Times New Roman" w:cs="Times New Roman"/>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28124E" w:rsidRPr="003440E5" w14:paraId="640DF820"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10F7D5D" w14:textId="77777777" w:rsidR="0028124E" w:rsidRPr="003440E5" w:rsidRDefault="0028124E" w:rsidP="0005751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A49359F" w14:textId="77777777" w:rsidR="0028124E" w:rsidRPr="003440E5" w:rsidRDefault="0028124E" w:rsidP="0005751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59AF0A0" w14:textId="77777777" w:rsidR="0028124E" w:rsidRPr="003440E5" w:rsidRDefault="0028124E" w:rsidP="0005751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28124E" w:rsidRPr="003440E5" w14:paraId="7E790032"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6F4C0D7" w14:textId="77777777" w:rsidR="0028124E" w:rsidRPr="003440E5" w:rsidRDefault="0028124E" w:rsidP="0005751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696AA14" w14:textId="77777777" w:rsidR="0028124E" w:rsidRPr="003440E5" w:rsidRDefault="0028124E" w:rsidP="0005751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D07C764" w14:textId="77777777" w:rsidR="0028124E" w:rsidRPr="003440E5" w:rsidRDefault="0028124E" w:rsidP="0005751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3097933" w14:textId="77777777" w:rsidR="0028124E" w:rsidRPr="003440E5" w:rsidRDefault="0028124E" w:rsidP="0028124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8C19232" w14:textId="77777777" w:rsidR="0074056A" w:rsidRDefault="0074056A" w:rsidP="003E7169">
      <w:pPr>
        <w:keepNext/>
        <w:keepLines/>
        <w:widowControl w:val="0"/>
        <w:spacing w:after="0" w:line="276" w:lineRule="auto"/>
        <w:jc w:val="both"/>
        <w:rPr>
          <w:rFonts w:ascii="Times New Roman" w:eastAsia="DaxlinePro-Light" w:hAnsi="Times New Roman" w:cs="Times New Roman"/>
          <w:i/>
          <w:sz w:val="24"/>
          <w:szCs w:val="24"/>
        </w:rPr>
      </w:pPr>
    </w:p>
    <w:p w14:paraId="7B4D6190" w14:textId="24EFA60A" w:rsidR="00D70C37" w:rsidRPr="003440E5" w:rsidRDefault="00D70C37" w:rsidP="0074056A">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3440E5">
        <w:rPr>
          <w:rFonts w:ascii="Times New Roman" w:eastAsia="DaxlinePro-Light" w:hAnsi="Times New Roman" w:cs="Times New Roman"/>
          <w:sz w:val="24"/>
          <w:szCs w:val="24"/>
        </w:rPr>
        <w:t xml:space="preserve">. </w:t>
      </w:r>
    </w:p>
    <w:p w14:paraId="62A4C453" w14:textId="46526DEE" w:rsidR="00D70C37" w:rsidRPr="003440E5" w:rsidRDefault="00D70C37" w:rsidP="0074056A">
      <w:pPr>
        <w:widowControl w:val="0"/>
        <w:spacing w:after="0" w:line="276" w:lineRule="auto"/>
        <w:rPr>
          <w:rFonts w:ascii="Times New Roman" w:eastAsia="DaxlinePro-Light" w:hAnsi="Times New Roman" w:cs="Times New Roman"/>
          <w:sz w:val="24"/>
          <w:szCs w:val="24"/>
        </w:rPr>
      </w:pPr>
    </w:p>
    <w:p w14:paraId="660C9D76" w14:textId="2B2B1658" w:rsidR="00D70C37" w:rsidRPr="003440E5" w:rsidRDefault="00D70C37" w:rsidP="0074056A">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sidRPr="003440E5">
        <w:rPr>
          <w:rFonts w:ascii="Times New Roman" w:eastAsia="DaxlinePro-Light" w:hAnsi="Times New Roman" w:cs="Times New Roman"/>
          <w:sz w:val="24"/>
          <w:szCs w:val="24"/>
        </w:rPr>
        <w:t xml:space="preserve">ROCA INDUSTRY </w:t>
      </w:r>
      <w:r w:rsidR="00A02E9A" w:rsidRPr="003440E5">
        <w:rPr>
          <w:rFonts w:ascii="Times New Roman" w:eastAsia="DaxlinePro-Light" w:hAnsi="Times New Roman" w:cs="Times New Roman"/>
          <w:sz w:val="24"/>
          <w:szCs w:val="24"/>
        </w:rPr>
        <w:t>HOLDINGROCK1</w:t>
      </w:r>
      <w:r w:rsidRPr="003440E5">
        <w:rPr>
          <w:rFonts w:ascii="Times New Roman" w:eastAsia="DaxlinePro-Light" w:hAnsi="Times New Roman" w:cs="Times New Roman"/>
          <w:sz w:val="24"/>
          <w:szCs w:val="24"/>
        </w:rPr>
        <w:t xml:space="preserve"> S.A. la data de referinta (</w:t>
      </w:r>
      <w:r w:rsidR="00A841A6" w:rsidRPr="0005751C">
        <w:rPr>
          <w:rFonts w:ascii="Times New Roman" w:eastAsia="DaxlinePro-Light" w:hAnsi="Times New Roman" w:cs="Times New Roman"/>
          <w:b/>
          <w:bCs/>
          <w:sz w:val="24"/>
          <w:szCs w:val="24"/>
        </w:rPr>
        <w:t>08</w:t>
      </w:r>
      <w:r w:rsidRPr="003440E5">
        <w:rPr>
          <w:rFonts w:ascii="Times New Roman" w:eastAsia="DaxlinePro-Light" w:hAnsi="Times New Roman" w:cs="Times New Roman"/>
          <w:b/>
          <w:sz w:val="24"/>
          <w:szCs w:val="24"/>
        </w:rPr>
        <w:t>.</w:t>
      </w:r>
      <w:r w:rsidR="00A841A6" w:rsidRPr="003440E5">
        <w:rPr>
          <w:rFonts w:ascii="Times New Roman" w:eastAsia="DaxlinePro-Light" w:hAnsi="Times New Roman" w:cs="Times New Roman"/>
          <w:b/>
          <w:sz w:val="24"/>
          <w:szCs w:val="24"/>
        </w:rPr>
        <w:t>06</w:t>
      </w:r>
      <w:r w:rsidRPr="003440E5">
        <w:rPr>
          <w:rFonts w:ascii="Times New Roman" w:eastAsia="DaxlinePro-Light" w:hAnsi="Times New Roman" w:cs="Times New Roman"/>
          <w:b/>
          <w:sz w:val="24"/>
          <w:szCs w:val="24"/>
        </w:rPr>
        <w:t>.202</w:t>
      </w:r>
      <w:r w:rsidR="00A841A6" w:rsidRPr="003440E5">
        <w:rPr>
          <w:rFonts w:ascii="Times New Roman" w:eastAsia="DaxlinePro-Light" w:hAnsi="Times New Roman" w:cs="Times New Roman"/>
          <w:b/>
          <w:sz w:val="24"/>
          <w:szCs w:val="24"/>
        </w:rPr>
        <w:t>3</w:t>
      </w:r>
      <w:r w:rsidRPr="003440E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3440E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3440E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Data buletinului de vot: [______________________________]</w:t>
      </w:r>
    </w:p>
    <w:p w14:paraId="4067B6B9"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3440E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3440E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3440E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3440E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3440E5" w:rsidRDefault="00D70C37" w:rsidP="005E3835">
      <w:pPr>
        <w:widowControl w:val="0"/>
        <w:spacing w:after="0" w:line="276" w:lineRule="auto"/>
        <w:rPr>
          <w:rFonts w:ascii="Times New Roman" w:eastAsia="DaxlinePro-Light" w:hAnsi="Times New Roman" w:cs="Times New Roman"/>
          <w:iCs/>
          <w:sz w:val="24"/>
          <w:szCs w:val="24"/>
        </w:rPr>
      </w:pPr>
      <w:r w:rsidRPr="003440E5">
        <w:rPr>
          <w:rFonts w:ascii="Times New Roman" w:eastAsia="DaxlinePro-Light" w:hAnsi="Times New Roman" w:cs="Times New Roman"/>
          <w:iCs/>
          <w:sz w:val="24"/>
          <w:szCs w:val="24"/>
        </w:rPr>
        <w:t>Semnatura: [_________________________________]</w:t>
      </w:r>
    </w:p>
    <w:p w14:paraId="44DF01D4" w14:textId="0D1BE73F" w:rsidR="00FE7DA6" w:rsidRPr="003440E5" w:rsidRDefault="00D70C37" w:rsidP="005E3835">
      <w:pPr>
        <w:widowControl w:val="0"/>
        <w:spacing w:after="0" w:line="276" w:lineRule="auto"/>
        <w:jc w:val="both"/>
        <w:rPr>
          <w:rFonts w:ascii="Times New Roman" w:hAnsi="Times New Roman" w:cs="Times New Roman"/>
          <w:sz w:val="24"/>
          <w:szCs w:val="24"/>
        </w:rPr>
      </w:pPr>
      <w:r w:rsidRPr="003440E5">
        <w:rPr>
          <w:rFonts w:ascii="Times New Roman" w:eastAsia="DaxlinePro-Light" w:hAnsi="Times New Roman" w:cs="Times New Roman"/>
          <w:iCs/>
          <w:color w:val="000000" w:themeColor="text1"/>
          <w:sz w:val="24"/>
          <w:szCs w:val="24"/>
        </w:rPr>
        <w:t>*In cazul actionarilor colectivi, se va semna de toti actionarii</w:t>
      </w:r>
    </w:p>
    <w:sectPr w:rsidR="00FE7DA6" w:rsidRPr="003440E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altName w:val="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2"/>
  </w:num>
  <w:num w:numId="3">
    <w:abstractNumId w:val="1"/>
  </w:num>
  <w:num w:numId="4">
    <w:abstractNumId w:val="5"/>
  </w:num>
  <w:num w:numId="5">
    <w:abstractNumId w:val="0"/>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1105"/>
    <w:rsid w:val="00034FA3"/>
    <w:rsid w:val="00040E21"/>
    <w:rsid w:val="00042174"/>
    <w:rsid w:val="00045872"/>
    <w:rsid w:val="000458FD"/>
    <w:rsid w:val="00055E7B"/>
    <w:rsid w:val="0005751C"/>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5FF1"/>
    <w:rsid w:val="00152509"/>
    <w:rsid w:val="0015498E"/>
    <w:rsid w:val="001579A7"/>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B029D"/>
    <w:rsid w:val="001B4CE1"/>
    <w:rsid w:val="001C00D6"/>
    <w:rsid w:val="001C05C4"/>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8124E"/>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2F08"/>
    <w:rsid w:val="002F38EE"/>
    <w:rsid w:val="003008C4"/>
    <w:rsid w:val="003044ED"/>
    <w:rsid w:val="00305123"/>
    <w:rsid w:val="00306497"/>
    <w:rsid w:val="00306BA8"/>
    <w:rsid w:val="00310566"/>
    <w:rsid w:val="003114BB"/>
    <w:rsid w:val="00314D7C"/>
    <w:rsid w:val="00316A5E"/>
    <w:rsid w:val="00320CD0"/>
    <w:rsid w:val="00320D33"/>
    <w:rsid w:val="00321FE6"/>
    <w:rsid w:val="003225D0"/>
    <w:rsid w:val="00326684"/>
    <w:rsid w:val="00334185"/>
    <w:rsid w:val="00335275"/>
    <w:rsid w:val="0033607A"/>
    <w:rsid w:val="00336E4A"/>
    <w:rsid w:val="003440E5"/>
    <w:rsid w:val="00344F55"/>
    <w:rsid w:val="00345C3F"/>
    <w:rsid w:val="00347168"/>
    <w:rsid w:val="00351792"/>
    <w:rsid w:val="003525B8"/>
    <w:rsid w:val="0035520D"/>
    <w:rsid w:val="0035527F"/>
    <w:rsid w:val="00355F63"/>
    <w:rsid w:val="0035742B"/>
    <w:rsid w:val="00360B12"/>
    <w:rsid w:val="00360E4F"/>
    <w:rsid w:val="00362A86"/>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C166C"/>
    <w:rsid w:val="004C1A1D"/>
    <w:rsid w:val="004C5974"/>
    <w:rsid w:val="004C63DF"/>
    <w:rsid w:val="004C6DC9"/>
    <w:rsid w:val="004D0B53"/>
    <w:rsid w:val="004D3C8A"/>
    <w:rsid w:val="004D5BC8"/>
    <w:rsid w:val="004D7EEC"/>
    <w:rsid w:val="004E248E"/>
    <w:rsid w:val="004F1B31"/>
    <w:rsid w:val="004F274D"/>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E4779"/>
    <w:rsid w:val="006F0CB9"/>
    <w:rsid w:val="006F0F16"/>
    <w:rsid w:val="006F1163"/>
    <w:rsid w:val="006F1C04"/>
    <w:rsid w:val="006F21FF"/>
    <w:rsid w:val="006F2667"/>
    <w:rsid w:val="006F2BEB"/>
    <w:rsid w:val="00700833"/>
    <w:rsid w:val="00701459"/>
    <w:rsid w:val="007047C4"/>
    <w:rsid w:val="00706A90"/>
    <w:rsid w:val="0071049B"/>
    <w:rsid w:val="00714944"/>
    <w:rsid w:val="00722796"/>
    <w:rsid w:val="0072620F"/>
    <w:rsid w:val="00731331"/>
    <w:rsid w:val="0073469F"/>
    <w:rsid w:val="00734843"/>
    <w:rsid w:val="0073775A"/>
    <w:rsid w:val="0073797A"/>
    <w:rsid w:val="00737AE8"/>
    <w:rsid w:val="0074056A"/>
    <w:rsid w:val="00741276"/>
    <w:rsid w:val="00743AC7"/>
    <w:rsid w:val="007463C0"/>
    <w:rsid w:val="00750B41"/>
    <w:rsid w:val="00755979"/>
    <w:rsid w:val="007576C6"/>
    <w:rsid w:val="00763435"/>
    <w:rsid w:val="00765A9A"/>
    <w:rsid w:val="00770B93"/>
    <w:rsid w:val="007715C1"/>
    <w:rsid w:val="0077193F"/>
    <w:rsid w:val="007744CA"/>
    <w:rsid w:val="007745EE"/>
    <w:rsid w:val="00774D41"/>
    <w:rsid w:val="007760BE"/>
    <w:rsid w:val="00776207"/>
    <w:rsid w:val="007769BB"/>
    <w:rsid w:val="00777B0D"/>
    <w:rsid w:val="0078397E"/>
    <w:rsid w:val="00783B01"/>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3AAD"/>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1DD8"/>
    <w:rsid w:val="00902D12"/>
    <w:rsid w:val="00904DA2"/>
    <w:rsid w:val="00911320"/>
    <w:rsid w:val="009141DC"/>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B1C66"/>
    <w:rsid w:val="009B3257"/>
    <w:rsid w:val="009B48E1"/>
    <w:rsid w:val="009C29CE"/>
    <w:rsid w:val="009C3E24"/>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3ACE"/>
    <w:rsid w:val="00A15B05"/>
    <w:rsid w:val="00A30789"/>
    <w:rsid w:val="00A34506"/>
    <w:rsid w:val="00A35A37"/>
    <w:rsid w:val="00A44B0A"/>
    <w:rsid w:val="00A46240"/>
    <w:rsid w:val="00A47162"/>
    <w:rsid w:val="00A523CE"/>
    <w:rsid w:val="00A55821"/>
    <w:rsid w:val="00A55F39"/>
    <w:rsid w:val="00A572EE"/>
    <w:rsid w:val="00A65384"/>
    <w:rsid w:val="00A672D5"/>
    <w:rsid w:val="00A75F68"/>
    <w:rsid w:val="00A81352"/>
    <w:rsid w:val="00A8196F"/>
    <w:rsid w:val="00A82E97"/>
    <w:rsid w:val="00A841A6"/>
    <w:rsid w:val="00A9519B"/>
    <w:rsid w:val="00A95E0A"/>
    <w:rsid w:val="00AA7C95"/>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4C8D"/>
    <w:rsid w:val="00B06890"/>
    <w:rsid w:val="00B1175A"/>
    <w:rsid w:val="00B16EC2"/>
    <w:rsid w:val="00B24E63"/>
    <w:rsid w:val="00B25924"/>
    <w:rsid w:val="00B25FDC"/>
    <w:rsid w:val="00B27B00"/>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412"/>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7455A-DBC9-49BD-B605-911E7E8A1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3.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2871</Words>
  <Characters>16370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2</cp:revision>
  <cp:lastPrinted>2019-03-20T15:50:00Z</cp:lastPrinted>
  <dcterms:created xsi:type="dcterms:W3CDTF">2023-05-18T09:05:00Z</dcterms:created>
  <dcterms:modified xsi:type="dcterms:W3CDTF">2023-05-18T09:05:00Z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