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311CCB5C"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C82D00">
        <w:rPr>
          <w:rFonts w:ascii="Times New Roman" w:eastAsia="DaxlinePro-Light" w:hAnsi="Times New Roman" w:cs="Times New Roman"/>
          <w:b/>
          <w:bCs/>
          <w:noProof/>
          <w:sz w:val="24"/>
          <w:szCs w:val="24"/>
        </w:rPr>
        <w:t>29</w:t>
      </w:r>
      <w:r w:rsidR="00C82D00" w:rsidRPr="001902FA">
        <w:rPr>
          <w:rFonts w:ascii="Times New Roman" w:eastAsia="DaxlinePro-Light" w:hAnsi="Times New Roman" w:cs="Times New Roman"/>
          <w:b/>
          <w:bCs/>
          <w:noProof/>
          <w:sz w:val="24"/>
          <w:szCs w:val="24"/>
        </w:rPr>
        <w:t>/</w:t>
      </w:r>
      <w:r w:rsidR="00C82D00">
        <w:rPr>
          <w:rFonts w:ascii="Times New Roman" w:eastAsia="DaxlinePro-Light" w:hAnsi="Times New Roman" w:cs="Times New Roman"/>
          <w:b/>
          <w:bCs/>
          <w:noProof/>
          <w:sz w:val="24"/>
          <w:szCs w:val="24"/>
        </w:rPr>
        <w:t>30</w:t>
      </w:r>
      <w:r w:rsidR="00C82D00" w:rsidRPr="001902FA">
        <w:rPr>
          <w:rFonts w:ascii="Times New Roman" w:eastAsia="DaxlinePro-Light" w:hAnsi="Times New Roman" w:cs="Times New Roman"/>
          <w:b/>
          <w:bCs/>
          <w:noProof/>
          <w:sz w:val="24"/>
          <w:szCs w:val="24"/>
        </w:rPr>
        <w:t>.0</w:t>
      </w:r>
      <w:r w:rsidR="00C82D00">
        <w:rPr>
          <w:rFonts w:ascii="Times New Roman" w:eastAsia="DaxlinePro-Light" w:hAnsi="Times New Roman" w:cs="Times New Roman"/>
          <w:b/>
          <w:bCs/>
          <w:noProof/>
          <w:sz w:val="24"/>
          <w:szCs w:val="24"/>
        </w:rPr>
        <w:t>4</w:t>
      </w:r>
      <w:r w:rsidR="00C82D00" w:rsidRPr="001902FA">
        <w:rPr>
          <w:rFonts w:ascii="Times New Roman" w:eastAsia="DaxlinePro-Light" w:hAnsi="Times New Roman" w:cs="Times New Roman"/>
          <w:b/>
          <w:bCs/>
          <w:noProof/>
          <w:sz w:val="24"/>
          <w:szCs w:val="24"/>
        </w:rPr>
        <w:t>.202</w:t>
      </w:r>
      <w:r w:rsidR="00C82D00">
        <w:rPr>
          <w:rFonts w:ascii="Times New Roman" w:eastAsia="DaxlinePro-Light" w:hAnsi="Times New Roman" w:cs="Times New Roman"/>
          <w:b/>
          <w:bCs/>
          <w:noProof/>
          <w:sz w:val="24"/>
          <w:szCs w:val="24"/>
        </w:rPr>
        <w:t>4</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5FB394C7"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555029">
        <w:rPr>
          <w:rFonts w:ascii="Times New Roman" w:eastAsia="Calibri" w:hAnsi="Times New Roman" w:cs="Times New Roman"/>
          <w:b/>
          <w:bCs/>
          <w:noProof/>
          <w:sz w:val="24"/>
          <w:szCs w:val="24"/>
        </w:rPr>
        <w:t>29</w:t>
      </w:r>
      <w:r w:rsidR="00555029" w:rsidRPr="001902FA">
        <w:rPr>
          <w:rFonts w:ascii="Times New Roman" w:eastAsia="DaxlinePro-Light" w:hAnsi="Times New Roman" w:cs="Times New Roman"/>
          <w:b/>
          <w:bCs/>
          <w:noProof/>
          <w:sz w:val="24"/>
          <w:szCs w:val="24"/>
        </w:rPr>
        <w:t xml:space="preserve"> </w:t>
      </w:r>
      <w:r w:rsidR="00555029">
        <w:rPr>
          <w:rFonts w:ascii="Times New Roman" w:eastAsia="DaxlinePro-Light" w:hAnsi="Times New Roman" w:cs="Times New Roman"/>
          <w:b/>
          <w:bCs/>
          <w:noProof/>
          <w:sz w:val="24"/>
          <w:szCs w:val="24"/>
        </w:rPr>
        <w:t>April</w:t>
      </w:r>
      <w:r w:rsidR="00555029" w:rsidRPr="001902FA">
        <w:rPr>
          <w:rFonts w:ascii="Times New Roman" w:eastAsia="DaxlinePro-Light" w:hAnsi="Times New Roman" w:cs="Times New Roman"/>
          <w:b/>
          <w:bCs/>
          <w:noProof/>
          <w:sz w:val="24"/>
          <w:szCs w:val="24"/>
        </w:rPr>
        <w:t xml:space="preserve"> 202</w:t>
      </w:r>
      <w:r w:rsidR="00555029">
        <w:rPr>
          <w:rFonts w:ascii="Times New Roman" w:eastAsia="DaxlinePro-Light" w:hAnsi="Times New Roman" w:cs="Times New Roman"/>
          <w:b/>
          <w:bCs/>
          <w:noProof/>
          <w:sz w:val="24"/>
          <w:szCs w:val="24"/>
        </w:rPr>
        <w:t>4</w:t>
      </w:r>
      <w:r w:rsidR="00555029" w:rsidRPr="001902FA">
        <w:rPr>
          <w:rFonts w:ascii="Times New Roman" w:eastAsia="DaxlinePro-Light" w:hAnsi="Times New Roman" w:cs="Times New Roman"/>
          <w:b/>
          <w:bCs/>
          <w:noProof/>
          <w:sz w:val="24"/>
          <w:szCs w:val="24"/>
        </w:rPr>
        <w:t>, at 1</w:t>
      </w:r>
      <w:r w:rsidR="00555029">
        <w:rPr>
          <w:rFonts w:ascii="Times New Roman" w:eastAsia="DaxlinePro-Light" w:hAnsi="Times New Roman" w:cs="Times New Roman"/>
          <w:b/>
          <w:bCs/>
          <w:noProof/>
          <w:sz w:val="24"/>
          <w:szCs w:val="24"/>
        </w:rPr>
        <w:t>6</w:t>
      </w:r>
      <w:r w:rsidR="00555029" w:rsidRPr="001902FA">
        <w:rPr>
          <w:rFonts w:ascii="Times New Roman" w:eastAsia="DaxlinePro-Light" w:hAnsi="Times New Roman" w:cs="Times New Roman"/>
          <w:b/>
          <w:bCs/>
          <w:noProof/>
          <w:sz w:val="24"/>
          <w:szCs w:val="24"/>
        </w:rPr>
        <w:t>:00 (Romanian time) – the first convocation</w:t>
      </w:r>
      <w:r w:rsidR="00555029" w:rsidRPr="001902FA">
        <w:rPr>
          <w:rFonts w:ascii="Times New Roman" w:eastAsia="DaxlinePro-Light" w:hAnsi="Times New Roman" w:cs="Times New Roman"/>
          <w:noProof/>
          <w:sz w:val="24"/>
          <w:szCs w:val="24"/>
        </w:rPr>
        <w:t xml:space="preserve"> and, respectively </w:t>
      </w:r>
      <w:r w:rsidR="00555029">
        <w:rPr>
          <w:rFonts w:ascii="Times New Roman" w:eastAsia="Calibri" w:hAnsi="Times New Roman" w:cs="Times New Roman"/>
          <w:b/>
          <w:bCs/>
          <w:noProof/>
          <w:sz w:val="24"/>
          <w:szCs w:val="24"/>
        </w:rPr>
        <w:t>30</w:t>
      </w:r>
      <w:r w:rsidR="00555029" w:rsidRPr="001902FA">
        <w:rPr>
          <w:rFonts w:ascii="Times New Roman" w:eastAsia="DaxlinePro-Light" w:hAnsi="Times New Roman" w:cs="Times New Roman"/>
          <w:b/>
          <w:bCs/>
          <w:noProof/>
          <w:sz w:val="24"/>
          <w:szCs w:val="24"/>
        </w:rPr>
        <w:t xml:space="preserve"> </w:t>
      </w:r>
      <w:r w:rsidR="00555029">
        <w:rPr>
          <w:rFonts w:ascii="Times New Roman" w:eastAsia="DaxlinePro-Light" w:hAnsi="Times New Roman" w:cs="Times New Roman"/>
          <w:b/>
          <w:bCs/>
          <w:noProof/>
          <w:sz w:val="24"/>
          <w:szCs w:val="24"/>
        </w:rPr>
        <w:t>April</w:t>
      </w:r>
      <w:r w:rsidR="00555029" w:rsidRPr="001902FA">
        <w:rPr>
          <w:rFonts w:ascii="Times New Roman" w:eastAsia="DaxlinePro-Light" w:hAnsi="Times New Roman" w:cs="Times New Roman"/>
          <w:b/>
          <w:bCs/>
          <w:noProof/>
          <w:sz w:val="24"/>
          <w:szCs w:val="24"/>
        </w:rPr>
        <w:t xml:space="preserve"> 202</w:t>
      </w:r>
      <w:r w:rsidR="00555029">
        <w:rPr>
          <w:rFonts w:ascii="Times New Roman" w:eastAsia="DaxlinePro-Light" w:hAnsi="Times New Roman" w:cs="Times New Roman"/>
          <w:b/>
          <w:bCs/>
          <w:noProof/>
          <w:sz w:val="24"/>
          <w:szCs w:val="24"/>
        </w:rPr>
        <w:t>4</w:t>
      </w:r>
      <w:r w:rsidR="00555029" w:rsidRPr="001902FA">
        <w:rPr>
          <w:rFonts w:ascii="Times New Roman" w:eastAsia="DaxlinePro-Light" w:hAnsi="Times New Roman" w:cs="Times New Roman"/>
          <w:b/>
          <w:bCs/>
          <w:noProof/>
          <w:sz w:val="24"/>
          <w:szCs w:val="24"/>
        </w:rPr>
        <w:t>, at 1</w:t>
      </w:r>
      <w:r w:rsidR="00555029">
        <w:rPr>
          <w:rFonts w:ascii="Times New Roman" w:eastAsia="DaxlinePro-Light" w:hAnsi="Times New Roman" w:cs="Times New Roman"/>
          <w:b/>
          <w:bCs/>
          <w:noProof/>
          <w:sz w:val="24"/>
          <w:szCs w:val="24"/>
        </w:rPr>
        <w:t>6</w:t>
      </w:r>
      <w:r w:rsidR="00555029" w:rsidRPr="001902FA">
        <w:rPr>
          <w:rFonts w:ascii="Times New Roman" w:eastAsia="DaxlinePro-Light" w:hAnsi="Times New Roman" w:cs="Times New Roman"/>
          <w:b/>
          <w:bCs/>
          <w:noProof/>
          <w:sz w:val="24"/>
          <w:szCs w:val="24"/>
        </w:rPr>
        <w:t xml:space="preserve">:00 (Romanian time) </w:t>
      </w:r>
      <w:r w:rsidR="00D70C37" w:rsidRPr="00171A79">
        <w:rPr>
          <w:rFonts w:ascii="Times New Roman" w:eastAsia="DaxlinePro-Light" w:hAnsi="Times New Roman" w:cs="Times New Roman"/>
          <w:noProof/>
          <w:sz w:val="24"/>
          <w:szCs w:val="24"/>
          <w:lang w:val="en-US"/>
        </w:rPr>
        <w:t xml:space="preserve">–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4DB69825"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5FF04F90" w14:textId="77777777" w:rsidR="00262733" w:rsidRPr="001902FA" w:rsidRDefault="00262733" w:rsidP="00262733">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9C22EC">
        <w:rPr>
          <w:rFonts w:ascii="Times New Roman" w:hAnsi="Times New Roman" w:cs="Times New Roman"/>
          <w:noProof/>
          <w:sz w:val="24"/>
          <w:szCs w:val="24"/>
        </w:rPr>
        <w:t>of the extension by an additional period of 2 (two) years of the maturity of the loans amounting to 1,300,000 EUR and 2,000,000 RON respectively, granted by the Company to EED, under the Loan Agreements dated May 13, 2022, and July 27, 2023</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262733" w:rsidRPr="001902FA" w14:paraId="6A6302BE" w14:textId="77777777" w:rsidTr="00EC6CD9">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129365C"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517223E"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3896E8E"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62733" w:rsidRPr="001902FA" w14:paraId="1061F7B8" w14:textId="77777777" w:rsidTr="00EC6CD9">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6D25F6"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D5640A2"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0FA60D7"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968F8A1" w14:textId="77777777" w:rsidR="00262733" w:rsidRPr="001902FA" w:rsidRDefault="00262733" w:rsidP="00262733">
      <w:pPr>
        <w:widowControl w:val="0"/>
        <w:pBdr>
          <w:bottom w:val="single" w:sz="12" w:space="1" w:color="auto"/>
        </w:pBdr>
        <w:jc w:val="both"/>
        <w:rPr>
          <w:rFonts w:ascii="Times New Roman" w:eastAsia="DaxlinePro-Light" w:hAnsi="Times New Roman" w:cs="Times New Roman"/>
          <w:noProof/>
          <w:sz w:val="24"/>
          <w:szCs w:val="24"/>
        </w:rPr>
      </w:pPr>
    </w:p>
    <w:p w14:paraId="6B170776" w14:textId="77777777" w:rsidR="00262733" w:rsidRPr="00EC1390" w:rsidRDefault="00262733" w:rsidP="00262733">
      <w:pPr>
        <w:keepNext/>
        <w:keepLines/>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3271D6">
        <w:rPr>
          <w:rFonts w:ascii="Times New Roman" w:hAnsi="Times New Roman" w:cs="Times New Roman"/>
          <w:noProof/>
          <w:sz w:val="24"/>
          <w:szCs w:val="24"/>
        </w:rPr>
        <w:t>of the authorization of the General Manager, Ioan-Adrian Bindea, to sign on behalf of the shareholders the resolutions of the EGMS, as well as all documents to be adopted based on the resolutions of the EGMS and to fulfill all legal formalities for the execution and registration of the adopted resolutions and decisions, with the possibility of sub-delegation to third parties. Within the granted mandate, Ioan-Adrian Bindea, as well as any of his sub-delegates, will be able to, without limitation, fulfill all necessary formalities for signing on behalf of and on behalf of the shareholders all documents necessary for the implementation of the resolutions of the EGMS, including the Articles of Association of the Company, as well as to perform any steps and formalities necessary for the implementation and registration of the resolutions adopted by the shareholders</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262733" w:rsidRPr="001902FA" w14:paraId="58395E88" w14:textId="77777777" w:rsidTr="00EC6CD9">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D8624F0"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E43FAC1"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0F7A9CA"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62733" w:rsidRPr="001902FA" w14:paraId="411505A1" w14:textId="77777777" w:rsidTr="00EC6CD9">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BEC716E"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8C863A0"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AA2C2B9" w14:textId="77777777" w:rsidR="00262733" w:rsidRPr="001902FA" w:rsidRDefault="0026273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E85C3D5" w14:textId="77777777" w:rsidR="00262733" w:rsidRPr="001902FA" w:rsidRDefault="00262733" w:rsidP="00262733">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44232D74"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262733">
        <w:rPr>
          <w:rFonts w:ascii="Times New Roman" w:eastAsia="DaxlinePro-Light" w:hAnsi="Times New Roman" w:cs="Times New Roman"/>
          <w:b/>
          <w:bCs/>
          <w:noProof/>
          <w:sz w:val="24"/>
          <w:szCs w:val="24"/>
          <w:lang w:val="en-US"/>
        </w:rPr>
        <w:t>18</w:t>
      </w:r>
      <w:r w:rsidRPr="00171A79">
        <w:rPr>
          <w:rFonts w:ascii="Times New Roman" w:eastAsia="DaxlinePro-Light" w:hAnsi="Times New Roman" w:cs="Times New Roman"/>
          <w:b/>
          <w:bCs/>
          <w:noProof/>
          <w:sz w:val="24"/>
          <w:szCs w:val="24"/>
          <w:lang w:val="en-US"/>
        </w:rPr>
        <w:t>.</w:t>
      </w:r>
      <w:r w:rsidR="00B90028">
        <w:rPr>
          <w:rFonts w:ascii="Times New Roman" w:eastAsia="DaxlinePro-Light" w:hAnsi="Times New Roman" w:cs="Times New Roman"/>
          <w:b/>
          <w:bCs/>
          <w:noProof/>
          <w:sz w:val="24"/>
          <w:szCs w:val="24"/>
          <w:lang w:val="en-US"/>
        </w:rPr>
        <w:t>0</w:t>
      </w:r>
      <w:r w:rsidR="00262733">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b/>
          <w:bCs/>
          <w:noProof/>
          <w:sz w:val="24"/>
          <w:szCs w:val="24"/>
          <w:lang w:val="en-US"/>
        </w:rPr>
        <w:t>.202</w:t>
      </w:r>
      <w:r w:rsidR="00262733">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0"/>
      <w:footerReference w:type="default" r:id="rId11"/>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6"/>
  </w:num>
  <w:num w:numId="3">
    <w:abstractNumId w:val="0"/>
  </w:num>
  <w:num w:numId="4">
    <w:abstractNumId w:val="5"/>
  </w:num>
  <w:num w:numId="5">
    <w:abstractNumId w:val="2"/>
  </w:num>
  <w:num w:numId="6">
    <w:abstractNumId w:val="7"/>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733"/>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5029"/>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2D00"/>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483BD-AE85-4075-94C3-380A261DC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BDD9FF48-BB7A-4629-8F4C-6317E5AE5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22</cp:revision>
  <cp:lastPrinted>2019-03-20T15:50:00Z</cp:lastPrinted>
  <dcterms:created xsi:type="dcterms:W3CDTF">2022-03-25T14:02:00Z</dcterms:created>
  <dcterms:modified xsi:type="dcterms:W3CDTF">2024-03-29T17:26:00Z</dcterms:modified>
</cp:coreProperties>
</file>